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eastAsiaTheme="minorEastAsia"/>
          <w:b/>
          <w:sz w:val="44"/>
        </w:rPr>
      </w:pPr>
    </w:p>
    <w:p>
      <w:pPr>
        <w:spacing w:line="360" w:lineRule="auto"/>
        <w:ind w:left="480" w:leftChars="200"/>
        <w:jc w:val="center"/>
        <w:rPr>
          <w:rFonts w:asciiTheme="minorEastAsia" w:hAnsiTheme="minorEastAsia" w:eastAsiaTheme="minorEastAsia"/>
          <w:b/>
          <w:sz w:val="44"/>
        </w:rPr>
      </w:pPr>
      <w:r>
        <w:rPr>
          <w:rFonts w:asciiTheme="minorEastAsia" w:hAnsiTheme="minorEastAsia" w:eastAsiaTheme="minorEastAsia"/>
          <w:b/>
          <w:sz w:val="44"/>
        </w:rPr>
        <w:drawing>
          <wp:inline distT="0" distB="0" distL="0" distR="0">
            <wp:extent cx="2019300" cy="1965325"/>
            <wp:effectExtent l="0" t="0" r="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19300" cy="1965325"/>
                    </a:xfrm>
                    <a:prstGeom prst="rect">
                      <a:avLst/>
                    </a:prstGeom>
                    <a:noFill/>
                  </pic:spPr>
                </pic:pic>
              </a:graphicData>
            </a:graphic>
          </wp:inline>
        </w:drawing>
      </w:r>
    </w:p>
    <w:p>
      <w:pPr>
        <w:spacing w:line="360" w:lineRule="auto"/>
        <w:ind w:left="480" w:leftChars="200"/>
        <w:jc w:val="center"/>
        <w:rPr>
          <w:rFonts w:asciiTheme="minorEastAsia" w:hAnsiTheme="minorEastAsia" w:eastAsiaTheme="minorEastAsia"/>
          <w:b/>
          <w:sz w:val="44"/>
        </w:rPr>
      </w:pPr>
    </w:p>
    <w:p>
      <w:pPr>
        <w:spacing w:line="600" w:lineRule="auto"/>
        <w:ind w:left="480" w:leftChars="200"/>
        <w:jc w:val="center"/>
        <w:rPr>
          <w:rFonts w:asciiTheme="minorEastAsia" w:hAnsiTheme="minorEastAsia" w:eastAsiaTheme="minorEastAsia"/>
          <w:b/>
          <w:sz w:val="48"/>
          <w:szCs w:val="22"/>
        </w:rPr>
      </w:pPr>
      <w:r>
        <w:rPr>
          <w:rFonts w:hint="eastAsia" w:asciiTheme="minorEastAsia" w:hAnsiTheme="minorEastAsia" w:eastAsiaTheme="minorEastAsia"/>
          <w:b/>
          <w:sz w:val="48"/>
          <w:szCs w:val="22"/>
        </w:rPr>
        <w:t>浙江省保安行业公共服务平台系统</w:t>
      </w:r>
    </w:p>
    <w:p>
      <w:pPr>
        <w:spacing w:line="360" w:lineRule="auto"/>
        <w:ind w:left="480" w:leftChars="200"/>
        <w:jc w:val="center"/>
        <w:rPr>
          <w:rFonts w:asciiTheme="minorEastAsia" w:hAnsiTheme="minorEastAsia" w:eastAsiaTheme="minorEastAsia"/>
          <w:sz w:val="22"/>
          <w:szCs w:val="22"/>
        </w:rPr>
      </w:pPr>
      <w:r>
        <w:rPr>
          <w:rFonts w:hint="eastAsia" w:asciiTheme="minorEastAsia" w:hAnsiTheme="minorEastAsia" w:eastAsiaTheme="minorEastAsia"/>
          <w:b/>
          <w:sz w:val="48"/>
          <w:szCs w:val="22"/>
        </w:rPr>
        <w:t>各地市协会用户使用手册</w:t>
      </w: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jc w:val="both"/>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ind w:left="480" w:leftChars="200"/>
        <w:jc w:val="center"/>
        <w:rPr>
          <w:rFonts w:asciiTheme="minorEastAsia" w:hAnsiTheme="minorEastAsia" w:eastAsiaTheme="minorEastAsia"/>
          <w:sz w:val="24"/>
        </w:rPr>
      </w:pPr>
    </w:p>
    <w:p>
      <w:pPr>
        <w:spacing w:line="360" w:lineRule="auto"/>
        <w:jc w:val="center"/>
        <w:rPr>
          <w:rFonts w:asciiTheme="minorEastAsia" w:hAnsiTheme="minorEastAsia" w:eastAsiaTheme="minorEastAsia" w:cstheme="minorBidi"/>
          <w:sz w:val="28"/>
          <w:szCs w:val="28"/>
        </w:rPr>
      </w:pPr>
      <w:r>
        <w:rPr>
          <w:rFonts w:hint="eastAsia" w:asciiTheme="minorEastAsia" w:hAnsiTheme="minorEastAsia" w:eastAsiaTheme="minorEastAsia" w:cstheme="minorBidi"/>
          <w:sz w:val="28"/>
          <w:szCs w:val="28"/>
        </w:rPr>
        <w:t>浙江钧信保安服务有限公司</w:t>
      </w:r>
    </w:p>
    <w:p>
      <w:pPr>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cstheme="minorBidi"/>
          <w:sz w:val="28"/>
          <w:szCs w:val="28"/>
        </w:rPr>
        <w:t>2018年6</w:t>
      </w:r>
      <w:r>
        <w:rPr>
          <w:rFonts w:asciiTheme="minorEastAsia" w:hAnsiTheme="minorEastAsia" w:eastAsiaTheme="minorEastAsia" w:cstheme="minorBidi"/>
          <w:sz w:val="28"/>
          <w:szCs w:val="28"/>
        </w:rPr>
        <w:t>月</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br w:type="page"/>
      </w:r>
    </w:p>
    <w:sdt>
      <w:sdtPr>
        <w:rPr>
          <w:lang w:val="en-US" w:eastAsia="zh-CN"/>
        </w:rPr>
        <w:id w:val="147477770"/>
        <w:docPartObj>
          <w:docPartGallery w:val="Table of Contents"/>
          <w:docPartUnique/>
        </w:docPartObj>
      </w:sdtPr>
      <w:sdtEndPr>
        <w:rPr>
          <w:rFonts w:cs="Times New Roman" w:asciiTheme="minorEastAsia" w:hAnsiTheme="minorEastAsia"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6"/>
            </w:tabs>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TOC \o "1-3" \h \u </w:instrText>
          </w:r>
          <w:r>
            <w:rPr>
              <w:rFonts w:asciiTheme="minorEastAsia" w:hAnsiTheme="minorEastAsia" w:eastAsiaTheme="minorEastAsia"/>
              <w:sz w:val="24"/>
            </w:rPr>
            <w:fldChar w:fldCharType="separate"/>
          </w:r>
          <w:r>
            <w:rPr>
              <w:rFonts w:asciiTheme="minorEastAsia" w:hAnsiTheme="minorEastAsia" w:eastAsiaTheme="minorEastAsia"/>
            </w:rPr>
            <w:fldChar w:fldCharType="begin"/>
          </w:r>
          <w:r>
            <w:rPr>
              <w:rFonts w:asciiTheme="minorEastAsia" w:hAnsiTheme="minorEastAsia" w:eastAsiaTheme="minorEastAsia"/>
            </w:rPr>
            <w:instrText xml:space="preserve"> HYPERLINK \l _Toc32463 </w:instrText>
          </w:r>
          <w:r>
            <w:rPr>
              <w:rFonts w:asciiTheme="minorEastAsia" w:hAnsiTheme="minorEastAsia" w:eastAsiaTheme="minorEastAsia"/>
            </w:rPr>
            <w:fldChar w:fldCharType="separate"/>
          </w:r>
          <w:r>
            <w:rPr>
              <w:rFonts w:hint="eastAsia"/>
            </w:rPr>
            <w:t>第1章 导言</w:t>
          </w:r>
          <w:r>
            <w:tab/>
          </w:r>
          <w:r>
            <w:fldChar w:fldCharType="begin"/>
          </w:r>
          <w:r>
            <w:instrText xml:space="preserve"> PAGEREF _Toc32463 </w:instrText>
          </w:r>
          <w:r>
            <w:fldChar w:fldCharType="separate"/>
          </w:r>
          <w:r>
            <w:t>3</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_Toc6303 </w:instrText>
          </w:r>
          <w:r>
            <w:rPr>
              <w:rFonts w:asciiTheme="minorEastAsia" w:hAnsiTheme="minorEastAsia" w:eastAsiaTheme="minorEastAsia"/>
            </w:rPr>
            <w:fldChar w:fldCharType="separate"/>
          </w:r>
          <w:r>
            <w:rPr>
              <w:rFonts w:hint="eastAsia"/>
            </w:rPr>
            <w:t>1.1 目的</w:t>
          </w:r>
          <w:r>
            <w:tab/>
          </w:r>
          <w:r>
            <w:fldChar w:fldCharType="begin"/>
          </w:r>
          <w:r>
            <w:instrText xml:space="preserve"> PAGEREF _Toc6303 </w:instrText>
          </w:r>
          <w:r>
            <w:fldChar w:fldCharType="separate"/>
          </w:r>
          <w:r>
            <w:t>3</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_Toc3810 </w:instrText>
          </w:r>
          <w:r>
            <w:rPr>
              <w:rFonts w:asciiTheme="minorEastAsia" w:hAnsiTheme="minorEastAsia" w:eastAsiaTheme="minorEastAsia"/>
            </w:rPr>
            <w:fldChar w:fldCharType="separate"/>
          </w:r>
          <w:r>
            <w:rPr>
              <w:rFonts w:hint="eastAsia"/>
            </w:rPr>
            <w:t>1.2 范围</w:t>
          </w:r>
          <w:r>
            <w:tab/>
          </w:r>
          <w:r>
            <w:fldChar w:fldCharType="begin"/>
          </w:r>
          <w:r>
            <w:instrText xml:space="preserve"> PAGEREF _Toc3810 </w:instrText>
          </w:r>
          <w:r>
            <w:fldChar w:fldCharType="separate"/>
          </w:r>
          <w:r>
            <w:t>3</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_Toc26547 </w:instrText>
          </w:r>
          <w:r>
            <w:rPr>
              <w:rFonts w:asciiTheme="minorEastAsia" w:hAnsiTheme="minorEastAsia" w:eastAsiaTheme="minorEastAsia"/>
            </w:rPr>
            <w:fldChar w:fldCharType="separate"/>
          </w:r>
          <w:r>
            <w:rPr>
              <w:rFonts w:hint="eastAsia"/>
            </w:rPr>
            <w:t>第2章 概述</w:t>
          </w:r>
          <w:r>
            <w:tab/>
          </w:r>
          <w:r>
            <w:fldChar w:fldCharType="begin"/>
          </w:r>
          <w:r>
            <w:instrText xml:space="preserve"> PAGEREF _Toc26547 </w:instrText>
          </w:r>
          <w:r>
            <w:fldChar w:fldCharType="separate"/>
          </w:r>
          <w:r>
            <w:t>3</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_Toc22115 </w:instrText>
          </w:r>
          <w:r>
            <w:rPr>
              <w:rFonts w:asciiTheme="minorEastAsia" w:hAnsiTheme="minorEastAsia" w:eastAsiaTheme="minorEastAsia"/>
            </w:rPr>
            <w:fldChar w:fldCharType="separate"/>
          </w:r>
          <w:r>
            <w:rPr>
              <w:rFonts w:hint="eastAsia"/>
            </w:rPr>
            <w:t>第3章 运行环境</w:t>
          </w:r>
          <w:r>
            <w:tab/>
          </w:r>
          <w:r>
            <w:fldChar w:fldCharType="begin"/>
          </w:r>
          <w:r>
            <w:instrText xml:space="preserve"> PAGEREF _Toc22115 </w:instrText>
          </w:r>
          <w:r>
            <w:fldChar w:fldCharType="separate"/>
          </w:r>
          <w:r>
            <w:t>4</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_Toc23326 </w:instrText>
          </w:r>
          <w:r>
            <w:rPr>
              <w:rFonts w:asciiTheme="minorEastAsia" w:hAnsiTheme="minorEastAsia" w:eastAsiaTheme="minorEastAsia"/>
            </w:rPr>
            <w:fldChar w:fldCharType="separate"/>
          </w:r>
          <w:r>
            <w:rPr>
              <w:rFonts w:hint="eastAsia"/>
            </w:rPr>
            <w:t>3.1服务器及存储设备</w:t>
          </w:r>
          <w:r>
            <w:tab/>
          </w:r>
          <w:r>
            <w:fldChar w:fldCharType="begin"/>
          </w:r>
          <w:r>
            <w:instrText xml:space="preserve"> PAGEREF _Toc23326 </w:instrText>
          </w:r>
          <w:r>
            <w:fldChar w:fldCharType="separate"/>
          </w:r>
          <w:r>
            <w:t>4</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_Toc26103 </w:instrText>
          </w:r>
          <w:r>
            <w:rPr>
              <w:rFonts w:asciiTheme="minorEastAsia" w:hAnsiTheme="minorEastAsia" w:eastAsiaTheme="minorEastAsia"/>
            </w:rPr>
            <w:fldChar w:fldCharType="separate"/>
          </w:r>
          <w:r>
            <w:rPr>
              <w:rFonts w:hint="eastAsia"/>
            </w:rPr>
            <w:t>3.2 电脑配置</w:t>
          </w:r>
          <w:r>
            <w:tab/>
          </w:r>
          <w:r>
            <w:fldChar w:fldCharType="begin"/>
          </w:r>
          <w:r>
            <w:instrText xml:space="preserve"> PAGEREF _Toc26103 </w:instrText>
          </w:r>
          <w:r>
            <w:fldChar w:fldCharType="separate"/>
          </w:r>
          <w:r>
            <w:t>4</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_Toc6138 </w:instrText>
          </w:r>
          <w:r>
            <w:rPr>
              <w:rFonts w:asciiTheme="minorEastAsia" w:hAnsiTheme="minorEastAsia" w:eastAsiaTheme="minorEastAsia"/>
            </w:rPr>
            <w:fldChar w:fldCharType="separate"/>
          </w:r>
          <w:r>
            <w:rPr>
              <w:rFonts w:hint="eastAsia"/>
            </w:rPr>
            <w:t>第4章 用户权限</w:t>
          </w:r>
          <w:r>
            <w:tab/>
          </w:r>
          <w:r>
            <w:fldChar w:fldCharType="begin"/>
          </w:r>
          <w:r>
            <w:instrText xml:space="preserve"> PAGEREF _Toc6138 </w:instrText>
          </w:r>
          <w:r>
            <w:fldChar w:fldCharType="separate"/>
          </w:r>
          <w:r>
            <w:t>5</w:t>
          </w:r>
          <w:r>
            <w:fldChar w:fldCharType="end"/>
          </w:r>
          <w:r>
            <w:rPr>
              <w:rFonts w:asciiTheme="minorEastAsia" w:hAnsiTheme="minorEastAsia" w:eastAsiaTheme="minorEastAsia"/>
            </w:rPr>
            <w:fldChar w:fldCharType="end"/>
          </w:r>
        </w:p>
        <w:p>
          <w:pPr>
            <w:pStyle w:val="15"/>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_Toc28988 </w:instrText>
          </w:r>
          <w:r>
            <w:rPr>
              <w:rFonts w:asciiTheme="minorEastAsia" w:hAnsiTheme="minorEastAsia" w:eastAsiaTheme="minorEastAsia"/>
            </w:rPr>
            <w:fldChar w:fldCharType="separate"/>
          </w:r>
          <w:r>
            <w:rPr>
              <w:rFonts w:hint="eastAsia"/>
            </w:rPr>
            <w:t>第5章 操作说明</w:t>
          </w:r>
          <w:r>
            <w:tab/>
          </w:r>
          <w:r>
            <w:fldChar w:fldCharType="begin"/>
          </w:r>
          <w:r>
            <w:instrText xml:space="preserve"> PAGEREF _Toc28988 </w:instrText>
          </w:r>
          <w:r>
            <w:fldChar w:fldCharType="separate"/>
          </w:r>
          <w:r>
            <w:t>6</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_Toc8906 </w:instrText>
          </w:r>
          <w:r>
            <w:rPr>
              <w:rFonts w:asciiTheme="minorEastAsia" w:hAnsiTheme="minorEastAsia" w:eastAsiaTheme="minorEastAsia"/>
            </w:rPr>
            <w:fldChar w:fldCharType="separate"/>
          </w:r>
          <w:r>
            <w:rPr>
              <w:rFonts w:hint="eastAsia"/>
            </w:rPr>
            <w:t>5.1首页</w:t>
          </w:r>
          <w:r>
            <w:tab/>
          </w:r>
          <w:r>
            <w:fldChar w:fldCharType="begin"/>
          </w:r>
          <w:r>
            <w:instrText xml:space="preserve"> PAGEREF _Toc8906 </w:instrText>
          </w:r>
          <w:r>
            <w:fldChar w:fldCharType="separate"/>
          </w:r>
          <w:r>
            <w:t>6</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_Toc29841 </w:instrText>
          </w:r>
          <w:r>
            <w:rPr>
              <w:rFonts w:asciiTheme="minorEastAsia" w:hAnsiTheme="minorEastAsia" w:eastAsiaTheme="minorEastAsia"/>
            </w:rPr>
            <w:fldChar w:fldCharType="separate"/>
          </w:r>
          <w:r>
            <w:rPr>
              <w:rFonts w:hint="eastAsia"/>
            </w:rPr>
            <w:t>5.2单位管理</w:t>
          </w:r>
          <w:r>
            <w:tab/>
          </w:r>
          <w:r>
            <w:fldChar w:fldCharType="begin"/>
          </w:r>
          <w:r>
            <w:instrText xml:space="preserve"> PAGEREF _Toc29841 </w:instrText>
          </w:r>
          <w:r>
            <w:fldChar w:fldCharType="separate"/>
          </w:r>
          <w:r>
            <w:t>6</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_Toc12440 </w:instrText>
          </w:r>
          <w:r>
            <w:rPr>
              <w:rFonts w:asciiTheme="minorEastAsia" w:hAnsiTheme="minorEastAsia" w:eastAsiaTheme="minorEastAsia"/>
            </w:rPr>
            <w:fldChar w:fldCharType="separate"/>
          </w:r>
          <w:r>
            <w:rPr>
              <w:rFonts w:hint="eastAsia"/>
            </w:rPr>
            <w:t>5.2.1单位信息</w:t>
          </w:r>
          <w:r>
            <w:tab/>
          </w:r>
          <w:r>
            <w:fldChar w:fldCharType="begin"/>
          </w:r>
          <w:r>
            <w:instrText xml:space="preserve"> PAGEREF _Toc12440 </w:instrText>
          </w:r>
          <w:r>
            <w:fldChar w:fldCharType="separate"/>
          </w:r>
          <w:r>
            <w:t>6</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_Toc31327 </w:instrText>
          </w:r>
          <w:r>
            <w:rPr>
              <w:rFonts w:asciiTheme="minorEastAsia" w:hAnsiTheme="minorEastAsia" w:eastAsiaTheme="minorEastAsia"/>
            </w:rPr>
            <w:fldChar w:fldCharType="separate"/>
          </w:r>
          <w:r>
            <w:rPr>
              <w:rFonts w:hint="eastAsia"/>
            </w:rPr>
            <w:t>5.2.2 信息上报</w:t>
          </w:r>
          <w:r>
            <w:tab/>
          </w:r>
          <w:r>
            <w:fldChar w:fldCharType="begin"/>
          </w:r>
          <w:r>
            <w:instrText xml:space="preserve"> PAGEREF _Toc31327 </w:instrText>
          </w:r>
          <w:r>
            <w:fldChar w:fldCharType="separate"/>
          </w:r>
          <w:r>
            <w:t>8</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_Toc11684 </w:instrText>
          </w:r>
          <w:r>
            <w:rPr>
              <w:rFonts w:asciiTheme="minorEastAsia" w:hAnsiTheme="minorEastAsia" w:eastAsiaTheme="minorEastAsia"/>
            </w:rPr>
            <w:fldChar w:fldCharType="separate"/>
          </w:r>
          <w:r>
            <w:rPr>
              <w:rFonts w:hint="eastAsia"/>
            </w:rPr>
            <w:t>5.2.3会员申请</w:t>
          </w:r>
          <w:r>
            <w:tab/>
          </w:r>
          <w:r>
            <w:fldChar w:fldCharType="begin"/>
          </w:r>
          <w:r>
            <w:instrText xml:space="preserve"> PAGEREF _Toc11684 </w:instrText>
          </w:r>
          <w:r>
            <w:fldChar w:fldCharType="separate"/>
          </w:r>
          <w:r>
            <w:t>8</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_Toc887 </w:instrText>
          </w:r>
          <w:r>
            <w:rPr>
              <w:rFonts w:asciiTheme="minorEastAsia" w:hAnsiTheme="minorEastAsia" w:eastAsiaTheme="minorEastAsia"/>
            </w:rPr>
            <w:fldChar w:fldCharType="separate"/>
          </w:r>
          <w:r>
            <w:rPr>
              <w:rFonts w:hint="eastAsia"/>
            </w:rPr>
            <w:t>5.3办公OA</w:t>
          </w:r>
          <w:r>
            <w:tab/>
          </w:r>
          <w:r>
            <w:fldChar w:fldCharType="begin"/>
          </w:r>
          <w:r>
            <w:instrText xml:space="preserve"> PAGEREF _Toc887 </w:instrText>
          </w:r>
          <w:r>
            <w:fldChar w:fldCharType="separate"/>
          </w:r>
          <w:r>
            <w:t>9</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_Toc3780 </w:instrText>
          </w:r>
          <w:r>
            <w:rPr>
              <w:rFonts w:asciiTheme="minorEastAsia" w:hAnsiTheme="minorEastAsia" w:eastAsiaTheme="minorEastAsia"/>
            </w:rPr>
            <w:fldChar w:fldCharType="separate"/>
          </w:r>
          <w:r>
            <w:rPr>
              <w:rFonts w:hint="eastAsia"/>
            </w:rPr>
            <w:t>5.3.1 通知管理</w:t>
          </w:r>
          <w:r>
            <w:tab/>
          </w:r>
          <w:r>
            <w:fldChar w:fldCharType="begin"/>
          </w:r>
          <w:r>
            <w:instrText xml:space="preserve"> PAGEREF _Toc3780 </w:instrText>
          </w:r>
          <w:r>
            <w:fldChar w:fldCharType="separate"/>
          </w:r>
          <w:r>
            <w:t>9</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_Toc29562 </w:instrText>
          </w:r>
          <w:r>
            <w:rPr>
              <w:rFonts w:asciiTheme="minorEastAsia" w:hAnsiTheme="minorEastAsia" w:eastAsiaTheme="minorEastAsia"/>
            </w:rPr>
            <w:fldChar w:fldCharType="separate"/>
          </w:r>
          <w:r>
            <w:rPr>
              <w:rFonts w:hint="eastAsia"/>
            </w:rPr>
            <w:t xml:space="preserve">5.3.2 </w:t>
          </w:r>
          <w:r>
            <w:rPr>
              <w:rFonts w:hint="eastAsia"/>
              <w:lang w:eastAsia="zh-CN"/>
            </w:rPr>
            <w:t>单位人员</w:t>
          </w:r>
          <w:r>
            <w:tab/>
          </w:r>
          <w:r>
            <w:fldChar w:fldCharType="begin"/>
          </w:r>
          <w:r>
            <w:instrText xml:space="preserve"> PAGEREF _Toc29562 </w:instrText>
          </w:r>
          <w:r>
            <w:fldChar w:fldCharType="separate"/>
          </w:r>
          <w:r>
            <w:t>11</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_Toc27316 </w:instrText>
          </w:r>
          <w:r>
            <w:rPr>
              <w:rFonts w:asciiTheme="minorEastAsia" w:hAnsiTheme="minorEastAsia" w:eastAsiaTheme="minorEastAsia"/>
            </w:rPr>
            <w:fldChar w:fldCharType="separate"/>
          </w:r>
          <w:r>
            <w:rPr>
              <w:rFonts w:hint="eastAsia"/>
            </w:rPr>
            <w:t>5.3.3 会员审批</w:t>
          </w:r>
          <w:r>
            <w:tab/>
          </w:r>
          <w:r>
            <w:fldChar w:fldCharType="begin"/>
          </w:r>
          <w:r>
            <w:instrText xml:space="preserve"> PAGEREF _Toc27316 </w:instrText>
          </w:r>
          <w:r>
            <w:fldChar w:fldCharType="separate"/>
          </w:r>
          <w:r>
            <w:t>12</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_Toc10599 </w:instrText>
          </w:r>
          <w:r>
            <w:rPr>
              <w:rFonts w:asciiTheme="minorEastAsia" w:hAnsiTheme="minorEastAsia" w:eastAsiaTheme="minorEastAsia"/>
            </w:rPr>
            <w:fldChar w:fldCharType="separate"/>
          </w:r>
          <w:r>
            <w:rPr>
              <w:rFonts w:hint="eastAsia"/>
            </w:rPr>
            <w:t>5.3.4咨询投诉</w:t>
          </w:r>
          <w:r>
            <w:tab/>
          </w:r>
          <w:r>
            <w:fldChar w:fldCharType="begin"/>
          </w:r>
          <w:r>
            <w:instrText xml:space="preserve"> PAGEREF _Toc10599 </w:instrText>
          </w:r>
          <w:r>
            <w:fldChar w:fldCharType="separate"/>
          </w:r>
          <w:r>
            <w:t>13</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_Toc731 </w:instrText>
          </w:r>
          <w:r>
            <w:rPr>
              <w:rFonts w:asciiTheme="minorEastAsia" w:hAnsiTheme="minorEastAsia" w:eastAsiaTheme="minorEastAsia"/>
            </w:rPr>
            <w:fldChar w:fldCharType="separate"/>
          </w:r>
          <w:r>
            <w:rPr>
              <w:rFonts w:hint="eastAsia"/>
            </w:rPr>
            <w:t>5.4业务采购</w:t>
          </w:r>
          <w:r>
            <w:tab/>
          </w:r>
          <w:r>
            <w:fldChar w:fldCharType="begin"/>
          </w:r>
          <w:r>
            <w:instrText xml:space="preserve"> PAGEREF _Toc731 </w:instrText>
          </w:r>
          <w:r>
            <w:fldChar w:fldCharType="separate"/>
          </w:r>
          <w:r>
            <w:t>13</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_Toc28104 </w:instrText>
          </w:r>
          <w:r>
            <w:rPr>
              <w:rFonts w:asciiTheme="minorEastAsia" w:hAnsiTheme="minorEastAsia" w:eastAsiaTheme="minorEastAsia"/>
            </w:rPr>
            <w:fldChar w:fldCharType="separate"/>
          </w:r>
          <w:r>
            <w:rPr>
              <w:rFonts w:hint="eastAsia"/>
            </w:rPr>
            <w:t>5.5人才招聘</w:t>
          </w:r>
          <w:r>
            <w:tab/>
          </w:r>
          <w:r>
            <w:fldChar w:fldCharType="begin"/>
          </w:r>
          <w:r>
            <w:instrText xml:space="preserve"> PAGEREF _Toc28104 </w:instrText>
          </w:r>
          <w:r>
            <w:fldChar w:fldCharType="separate"/>
          </w:r>
          <w:r>
            <w:t>16</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_Toc24408 </w:instrText>
          </w:r>
          <w:r>
            <w:rPr>
              <w:rFonts w:asciiTheme="minorEastAsia" w:hAnsiTheme="minorEastAsia" w:eastAsiaTheme="minorEastAsia"/>
            </w:rPr>
            <w:fldChar w:fldCharType="separate"/>
          </w:r>
          <w:r>
            <w:rPr>
              <w:rFonts w:hint="eastAsia"/>
            </w:rPr>
            <w:t>5.5.1职位管理</w:t>
          </w:r>
          <w:r>
            <w:tab/>
          </w:r>
          <w:r>
            <w:fldChar w:fldCharType="begin"/>
          </w:r>
          <w:r>
            <w:instrText xml:space="preserve"> PAGEREF _Toc24408 </w:instrText>
          </w:r>
          <w:r>
            <w:fldChar w:fldCharType="separate"/>
          </w:r>
          <w:r>
            <w:t>16</w:t>
          </w:r>
          <w:r>
            <w:fldChar w:fldCharType="end"/>
          </w:r>
          <w:r>
            <w:rPr>
              <w:rFonts w:asciiTheme="minorEastAsia" w:hAnsiTheme="minorEastAsia" w:eastAsiaTheme="minorEastAsia"/>
            </w:rPr>
            <w:fldChar w:fldCharType="end"/>
          </w:r>
        </w:p>
        <w:p>
          <w:pPr>
            <w:pStyle w:val="10"/>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_Toc27411 </w:instrText>
          </w:r>
          <w:r>
            <w:rPr>
              <w:rFonts w:asciiTheme="minorEastAsia" w:hAnsiTheme="minorEastAsia" w:eastAsiaTheme="minorEastAsia"/>
            </w:rPr>
            <w:fldChar w:fldCharType="separate"/>
          </w:r>
          <w:r>
            <w:rPr>
              <w:rFonts w:hint="eastAsia"/>
            </w:rPr>
            <w:t>5.5.2简历管理</w:t>
          </w:r>
          <w:r>
            <w:tab/>
          </w:r>
          <w:r>
            <w:fldChar w:fldCharType="begin"/>
          </w:r>
          <w:r>
            <w:instrText xml:space="preserve"> PAGEREF _Toc27411 </w:instrText>
          </w:r>
          <w:r>
            <w:fldChar w:fldCharType="separate"/>
          </w:r>
          <w:r>
            <w:t>17</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_Toc82 </w:instrText>
          </w:r>
          <w:r>
            <w:rPr>
              <w:rFonts w:asciiTheme="minorEastAsia" w:hAnsiTheme="minorEastAsia" w:eastAsiaTheme="minorEastAsia"/>
            </w:rPr>
            <w:fldChar w:fldCharType="separate"/>
          </w:r>
          <w:r>
            <w:rPr>
              <w:rFonts w:hint="eastAsia"/>
            </w:rPr>
            <w:t>5.6 稿件管理</w:t>
          </w:r>
          <w:r>
            <w:tab/>
          </w:r>
          <w:r>
            <w:fldChar w:fldCharType="begin"/>
          </w:r>
          <w:r>
            <w:instrText xml:space="preserve"> PAGEREF _Toc82 </w:instrText>
          </w:r>
          <w:r>
            <w:fldChar w:fldCharType="separate"/>
          </w:r>
          <w:r>
            <w:t>18</w:t>
          </w:r>
          <w:r>
            <w:fldChar w:fldCharType="end"/>
          </w:r>
          <w:r>
            <w:rPr>
              <w:rFonts w:asciiTheme="minorEastAsia" w:hAnsiTheme="minorEastAsia" w:eastAsiaTheme="minorEastAsia"/>
            </w:rPr>
            <w:fldChar w:fldCharType="end"/>
          </w:r>
        </w:p>
        <w:p>
          <w:pPr>
            <w:pStyle w:val="19"/>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HYPERLINK \l _Toc18997 </w:instrText>
          </w:r>
          <w:r>
            <w:rPr>
              <w:rFonts w:asciiTheme="minorEastAsia" w:hAnsiTheme="minorEastAsia" w:eastAsiaTheme="minorEastAsia"/>
            </w:rPr>
            <w:fldChar w:fldCharType="separate"/>
          </w:r>
          <w:r>
            <w:t>5.</w:t>
          </w:r>
          <w:r>
            <w:rPr>
              <w:rFonts w:hint="eastAsia"/>
            </w:rPr>
            <w:t>7互动管理</w:t>
          </w:r>
          <w:r>
            <w:tab/>
          </w:r>
          <w:r>
            <w:fldChar w:fldCharType="begin"/>
          </w:r>
          <w:r>
            <w:instrText xml:space="preserve"> PAGEREF _Toc18997 </w:instrText>
          </w:r>
          <w:r>
            <w:fldChar w:fldCharType="separate"/>
          </w:r>
          <w:r>
            <w:t>18</w:t>
          </w:r>
          <w:r>
            <w:fldChar w:fldCharType="end"/>
          </w:r>
          <w:r>
            <w:rPr>
              <w:rFonts w:asciiTheme="minorEastAsia" w:hAnsiTheme="minorEastAsia" w:eastAsiaTheme="minorEastAsia"/>
            </w:rPr>
            <w:fldChar w:fldCharType="end"/>
          </w:r>
        </w:p>
        <w:p>
          <w:pPr>
            <w:widowControl/>
            <w:jc w:val="left"/>
            <w:rPr>
              <w:rFonts w:asciiTheme="minorEastAsia" w:hAnsiTheme="minorEastAsia" w:eastAsiaTheme="minorEastAsia"/>
              <w:sz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asciiTheme="minorEastAsia" w:hAnsiTheme="minorEastAsia" w:eastAsiaTheme="minorEastAsia"/>
            </w:rPr>
            <w:fldChar w:fldCharType="end"/>
          </w:r>
        </w:p>
      </w:sdtContent>
    </w:sdt>
    <w:p>
      <w:pPr>
        <w:pStyle w:val="2"/>
        <w:spacing w:before="156" w:beforeLines="50" w:after="156" w:afterLines="50" w:line="360" w:lineRule="auto"/>
        <w:jc w:val="center"/>
      </w:pPr>
      <w:bookmarkStart w:id="0" w:name="_Toc32463"/>
      <w:bookmarkStart w:id="1" w:name="_Toc24837"/>
      <w:bookmarkStart w:id="2" w:name="_Toc501463341"/>
      <w:r>
        <w:rPr>
          <w:rFonts w:hint="eastAsia"/>
        </w:rPr>
        <w:t>第1章 导言</w:t>
      </w:r>
      <w:bookmarkEnd w:id="0"/>
    </w:p>
    <w:p>
      <w:pPr>
        <w:pStyle w:val="3"/>
      </w:pPr>
      <w:bookmarkStart w:id="3" w:name="_Toc6303"/>
      <w:r>
        <w:rPr>
          <w:rFonts w:hint="eastAsia"/>
        </w:rPr>
        <w:t>1.1 目的</w:t>
      </w:r>
      <w:bookmarkEnd w:id="3"/>
    </w:p>
    <w:p>
      <w:r>
        <w:rPr>
          <w:rFonts w:hint="eastAsia"/>
        </w:rPr>
        <w:t>该文档的目的是描述保安行业公共服务平台系统的用户使用说明，其主要内容包括：</w:t>
      </w:r>
    </w:p>
    <w:p>
      <w:pPr>
        <w:pStyle w:val="33"/>
        <w:numPr>
          <w:ilvl w:val="0"/>
          <w:numId w:val="2"/>
        </w:numPr>
        <w:ind w:firstLineChars="0"/>
      </w:pPr>
      <w:r>
        <w:rPr>
          <w:rFonts w:hint="eastAsia"/>
        </w:rPr>
        <w:t>运行环境</w:t>
      </w:r>
    </w:p>
    <w:p>
      <w:pPr>
        <w:pStyle w:val="33"/>
        <w:numPr>
          <w:ilvl w:val="0"/>
          <w:numId w:val="2"/>
        </w:numPr>
        <w:ind w:firstLineChars="0"/>
        <w:rPr>
          <w:sz w:val="24"/>
        </w:rPr>
      </w:pPr>
      <w:r>
        <w:rPr>
          <w:rFonts w:hint="eastAsia"/>
        </w:rPr>
        <w:t>操作说明</w:t>
      </w:r>
    </w:p>
    <w:p>
      <w:r>
        <w:rPr>
          <w:rFonts w:hint="eastAsia"/>
        </w:rPr>
        <w:t>本文档的预期读者是：各地市协会用户。</w:t>
      </w:r>
    </w:p>
    <w:p>
      <w:pPr>
        <w:pStyle w:val="3"/>
      </w:pPr>
      <w:bookmarkStart w:id="4" w:name="_Toc3810"/>
      <w:r>
        <w:rPr>
          <w:rFonts w:hint="eastAsia"/>
        </w:rPr>
        <w:t>1.2 范围</w:t>
      </w:r>
      <w:bookmarkEnd w:id="4"/>
    </w:p>
    <w:p>
      <w:r>
        <w:rPr>
          <w:rFonts w:hint="eastAsia"/>
        </w:rPr>
        <w:t>该文档定义了产品的使用说明，主要描述了产品的操作流程，以及配置说明。</w:t>
      </w:r>
    </w:p>
    <w:bookmarkEnd w:id="1"/>
    <w:bookmarkEnd w:id="2"/>
    <w:p>
      <w:pPr>
        <w:pStyle w:val="2"/>
        <w:spacing w:before="156" w:beforeLines="50" w:after="156" w:afterLines="50" w:line="360" w:lineRule="auto"/>
        <w:jc w:val="center"/>
      </w:pPr>
      <w:bookmarkStart w:id="5" w:name="_Toc26547"/>
      <w:r>
        <w:rPr>
          <w:rFonts w:hint="eastAsia"/>
        </w:rPr>
        <w:t>第2章 概述</w:t>
      </w:r>
      <w:bookmarkEnd w:id="5"/>
    </w:p>
    <w:p>
      <w:r>
        <w:rPr>
          <w:rFonts w:hint="eastAsia"/>
        </w:rPr>
        <w:t>浙江省保安行业公共服务平台系统是浙江省保安行业服务的综合管理系统，该系统运行在Tomcat服务器上，数据库系统可视服务器情况修改。此系统包括平台主页和后台管理系统。其中，平台主页主要提供信息展示、查询及其他相关服务，如业务采购、人才招聘、教育培训等。后台管理系统，主要用于OA办公、网站管理、单位管理、用户管理等。整个服务平台系统通过权限设置，实现不同用户的协同使用。</w:t>
      </w:r>
    </w:p>
    <w:p/>
    <w:p>
      <w:pPr>
        <w:rPr>
          <w:sz w:val="28"/>
          <w:szCs w:val="28"/>
        </w:rPr>
      </w:pPr>
      <w:r>
        <w:rPr>
          <w:rFonts w:hint="eastAsia"/>
        </w:rPr>
        <w:t>保安行业公共服务平台系统建成后，可对行业数据进行动态监测和分析，为从业单位和从业个人，以及客户单位提供专业的服务，为社会大众提供权威便捷的信息查询，有利于建立起行业评价和激励机制，同时为监管部门制定相关政策提供依据。</w:t>
      </w:r>
    </w:p>
    <w:p>
      <w:pPr>
        <w:widowControl/>
        <w:jc w:val="left"/>
        <w:rPr>
          <w:rFonts w:asciiTheme="minorEastAsia" w:hAnsiTheme="minorEastAsia" w:eastAsiaTheme="minorEastAsia"/>
          <w:sz w:val="28"/>
          <w:szCs w:val="28"/>
        </w:rPr>
      </w:pPr>
    </w:p>
    <w:p>
      <w:pPr>
        <w:widowControl/>
        <w:jc w:val="left"/>
        <w:rPr>
          <w:rFonts w:asciiTheme="minorEastAsia" w:hAnsiTheme="minorEastAsia" w:eastAsiaTheme="minorEastAsia"/>
          <w:b/>
          <w:sz w:val="24"/>
        </w:rPr>
      </w:pPr>
      <w:r>
        <w:rPr>
          <w:rFonts w:asciiTheme="minorEastAsia" w:hAnsiTheme="minorEastAsia" w:eastAsiaTheme="minorEastAsia"/>
          <w:b/>
          <w:sz w:val="24"/>
        </w:rPr>
        <w:br w:type="page"/>
      </w:r>
    </w:p>
    <w:p>
      <w:pPr>
        <w:pStyle w:val="2"/>
        <w:spacing w:before="156" w:beforeLines="50" w:after="156" w:afterLines="50" w:line="360" w:lineRule="auto"/>
        <w:jc w:val="center"/>
      </w:pPr>
      <w:bookmarkStart w:id="6" w:name="_Toc22115"/>
      <w:bookmarkStart w:id="7" w:name="_Toc501463343"/>
      <w:bookmarkStart w:id="8" w:name="_Toc22158"/>
      <w:r>
        <w:rPr>
          <w:rFonts w:hint="eastAsia"/>
        </w:rPr>
        <w:t>第3章 运行环境</w:t>
      </w:r>
      <w:bookmarkEnd w:id="6"/>
    </w:p>
    <w:p>
      <w:pPr>
        <w:pStyle w:val="3"/>
      </w:pPr>
      <w:bookmarkStart w:id="9" w:name="_Toc23326"/>
      <w:r>
        <w:rPr>
          <w:rFonts w:hint="eastAsia"/>
        </w:rPr>
        <w:t>3.1服务器及存储设备</w:t>
      </w:r>
      <w:bookmarkEnd w:id="9"/>
    </w:p>
    <w:p>
      <w:r>
        <w:t>服务器及存储设备将租用阿里云服务</w:t>
      </w:r>
      <w:r>
        <w:rPr>
          <w:rFonts w:hint="eastAsia"/>
        </w:rPr>
        <w:t>。推介配置为：</w:t>
      </w:r>
    </w:p>
    <w:tbl>
      <w:tblPr>
        <w:tblStyle w:val="26"/>
        <w:tblW w:w="850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47"/>
        <w:gridCol w:w="59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FFFFFF" w:sz="4" w:space="0"/>
              <w:right w:val="single" w:color="4BACC6" w:sz="8" w:space="0"/>
            </w:tcBorders>
            <w:shd w:val="clear" w:color="auto" w:fill="4BACC6"/>
            <w:vAlign w:val="center"/>
          </w:tcPr>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cs="Helvetica Neue" w:asciiTheme="minorEastAsia" w:hAnsiTheme="minorEastAsia" w:eastAsiaTheme="minorEastAsia"/>
                <w:color w:val="FFFFFF"/>
                <w:sz w:val="24"/>
              </w:rPr>
            </w:pPr>
            <w:r>
              <w:rPr>
                <w:rFonts w:cs="Helvetica Neue" w:asciiTheme="minorEastAsia" w:hAnsiTheme="minorEastAsia" w:eastAsiaTheme="minorEastAsia"/>
                <w:color w:val="FFFFFF"/>
                <w:sz w:val="24"/>
              </w:rPr>
              <w:t>CPU</w:t>
            </w:r>
          </w:p>
        </w:tc>
        <w:tc>
          <w:tcPr>
            <w:tcW w:w="5953" w:type="dxa"/>
            <w:tcBorders>
              <w:top w:val="single" w:color="4BACC6" w:sz="8" w:space="0"/>
              <w:left w:val="single" w:color="4BACC6" w:sz="8" w:space="0"/>
              <w:bottom w:val="single" w:color="FFFFFF" w:sz="4" w:space="0"/>
              <w:right w:val="single" w:color="4BACC6" w:sz="8" w:space="0"/>
            </w:tcBorders>
            <w:shd w:val="clear" w:color="auto" w:fill="4BACC6"/>
            <w:vAlign w:val="center"/>
          </w:tcPr>
          <w:p>
            <w:pPr>
              <w:pStyle w:val="34"/>
              <w:ind w:firstLine="0" w:firstLineChars="0"/>
              <w:jc w:val="center"/>
              <w:rPr>
                <w:rFonts w:asciiTheme="minorEastAsia" w:hAnsiTheme="minorEastAsia" w:eastAsiaTheme="minorEastAsia"/>
                <w:color w:val="FFFFFF"/>
                <w:szCs w:val="24"/>
              </w:rPr>
            </w:pPr>
            <w:r>
              <w:rPr>
                <w:rFonts w:cs="Helvetica Neue" w:asciiTheme="minorEastAsia" w:hAnsiTheme="minorEastAsia" w:eastAsiaTheme="minorEastAsia"/>
                <w:color w:val="FFFFFF"/>
                <w:szCs w:val="24"/>
              </w:rPr>
              <w:t>16vCPU Intel Xeon E5-2682v4</w:t>
            </w:r>
            <w:r>
              <w:rPr>
                <w:rFonts w:cs="Helvetica Neue" w:asciiTheme="minorEastAsia" w:hAnsiTheme="minorEastAsia" w:eastAsiaTheme="minorEastAsia"/>
                <w:color w:val="FFFFFF"/>
                <w:szCs w:val="24"/>
              </w:rPr>
              <w:tab/>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cs="Helvetica Neue" w:asciiTheme="minorEastAsia" w:hAnsiTheme="minorEastAsia" w:eastAsiaTheme="minorEastAsia"/>
                <w:color w:val="000000"/>
                <w:szCs w:val="24"/>
              </w:rPr>
              <w:t>内存</w:t>
            </w:r>
          </w:p>
        </w:tc>
        <w:tc>
          <w:tcPr>
            <w:tcW w:w="5953" w:type="dxa"/>
            <w:tcBorders>
              <w:top w:val="single" w:color="FFFFFF" w:sz="4"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cs="Helvetica Neue" w:asciiTheme="minorEastAsia" w:hAnsiTheme="minorEastAsia" w:eastAsiaTheme="minorEastAsia"/>
                <w:color w:val="000000"/>
                <w:szCs w:val="24"/>
              </w:rPr>
              <w:t>DDR4 16G*4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asciiTheme="minorEastAsia" w:hAnsiTheme="minorEastAsia" w:eastAsiaTheme="minorEastAsia"/>
                <w:color w:val="000000"/>
                <w:szCs w:val="24"/>
              </w:rPr>
            </w:pPr>
            <w:r>
              <w:rPr>
                <w:rFonts w:cs="Helvetica Neue" w:asciiTheme="minorEastAsia" w:hAnsiTheme="minorEastAsia" w:eastAsiaTheme="minorEastAsia"/>
                <w:color w:val="000000"/>
                <w:szCs w:val="24"/>
              </w:rPr>
              <w:t>存储</w:t>
            </w:r>
          </w:p>
        </w:tc>
        <w:tc>
          <w:tcPr>
            <w:tcW w:w="59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系统盘：</w:t>
            </w:r>
            <w:r>
              <w:rPr>
                <w:rFonts w:cs="Helvetica Neue" w:asciiTheme="minorEastAsia" w:hAnsiTheme="minorEastAsia" w:eastAsiaTheme="minorEastAsia"/>
                <w:color w:val="000000"/>
                <w:szCs w:val="24"/>
              </w:rPr>
              <w:t>SSD云盘</w:t>
            </w:r>
            <w:r>
              <w:rPr>
                <w:rFonts w:hint="eastAsia" w:cs="Helvetica Neue" w:asciiTheme="minorEastAsia" w:hAnsiTheme="minorEastAsia" w:eastAsiaTheme="minorEastAsia"/>
                <w:color w:val="000000"/>
                <w:szCs w:val="24"/>
              </w:rPr>
              <w:t xml:space="preserve"> 100GB</w:t>
            </w:r>
            <w:r>
              <w:rPr>
                <w:rFonts w:cs="Helvetica Neue" w:asciiTheme="minorEastAsia" w:hAnsiTheme="minorEastAsia" w:eastAsiaTheme="minorEastAsia"/>
                <w:color w:val="000000"/>
                <w:szCs w:val="24"/>
              </w:rPr>
              <w:t xml:space="preserve"> 4200 IOPS</w:t>
            </w:r>
          </w:p>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数据盘：</w:t>
            </w:r>
            <w:r>
              <w:rPr>
                <w:rFonts w:cs="Helvetica Neue" w:asciiTheme="minorEastAsia" w:hAnsiTheme="minorEastAsia" w:eastAsiaTheme="minorEastAsia"/>
                <w:color w:val="000000"/>
                <w:szCs w:val="24"/>
              </w:rPr>
              <w:t>SSD云盘</w:t>
            </w:r>
            <w:r>
              <w:rPr>
                <w:rFonts w:hint="eastAsia" w:cs="Helvetica Neue" w:asciiTheme="minorEastAsia" w:hAnsiTheme="minorEastAsia" w:eastAsiaTheme="minorEastAsia"/>
                <w:color w:val="000000"/>
                <w:szCs w:val="24"/>
              </w:rPr>
              <w:t xml:space="preserve"> 2048GB</w:t>
            </w:r>
            <w:r>
              <w:rPr>
                <w:rFonts w:cs="Helvetica Neue" w:asciiTheme="minorEastAsia" w:hAnsiTheme="minorEastAsia" w:eastAsiaTheme="minorEastAsia"/>
                <w:color w:val="000000"/>
                <w:szCs w:val="24"/>
              </w:rPr>
              <w:t xml:space="preserve"> 4200 20000IOPS加密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公网</w:t>
            </w:r>
            <w:r>
              <w:rPr>
                <w:rFonts w:cs="Helvetica Neue" w:asciiTheme="minorEastAsia" w:hAnsiTheme="minorEastAsia" w:eastAsiaTheme="minorEastAsia"/>
                <w:color w:val="000000"/>
                <w:szCs w:val="24"/>
              </w:rPr>
              <w:t>带宽</w:t>
            </w:r>
          </w:p>
        </w:tc>
        <w:tc>
          <w:tcPr>
            <w:tcW w:w="595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asciiTheme="minorEastAsia" w:hAnsiTheme="minorEastAsia" w:eastAsiaTheme="minorEastAsia"/>
                <w:color w:val="000000"/>
                <w:szCs w:val="24"/>
              </w:rPr>
            </w:pPr>
            <w:r>
              <w:rPr>
                <w:rFonts w:hint="eastAsia" w:asciiTheme="minorEastAsia" w:hAnsiTheme="minorEastAsia" w:eastAsiaTheme="minorEastAsia"/>
                <w:color w:val="000000"/>
              </w:rPr>
              <w:t>10Mbps</w:t>
            </w:r>
            <w:r>
              <w:rPr>
                <w:rFonts w:asciiTheme="minorEastAsia" w:hAnsiTheme="minorEastAsia" w:eastAsiaTheme="minorEastAsia"/>
                <w:color w:val="000000"/>
              </w:rPr>
              <w:t xml:space="preserve"> 专有网络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数量</w:t>
            </w:r>
          </w:p>
        </w:tc>
        <w:tc>
          <w:tcPr>
            <w:tcW w:w="5953" w:type="dxa"/>
            <w:tcBorders>
              <w:top w:val="single" w:color="4BACC6" w:sz="8" w:space="0"/>
              <w:left w:val="single" w:color="4BACC6" w:sz="8" w:space="0"/>
              <w:bottom w:val="single" w:color="4BACC6" w:sz="8" w:space="0"/>
              <w:right w:val="single" w:color="4BACC6" w:sz="8" w:space="0"/>
            </w:tcBorders>
            <w:shd w:val="clear" w:color="auto" w:fill="FFFFFF"/>
            <w:vAlign w:val="center"/>
          </w:tcPr>
          <w:p>
            <w:pPr>
              <w:pStyle w:val="34"/>
              <w:ind w:firstLine="0" w:firstLineChars="0"/>
              <w:jc w:val="center"/>
              <w:rPr>
                <w:rFonts w:cs="Helvetica Neue" w:asciiTheme="minorEastAsia" w:hAnsiTheme="minorEastAsia" w:eastAsiaTheme="minorEastAsia"/>
                <w:color w:val="000000"/>
                <w:szCs w:val="24"/>
              </w:rPr>
            </w:pPr>
            <w:r>
              <w:rPr>
                <w:rFonts w:cs="Helvetica Neue" w:asciiTheme="minorEastAsia" w:hAnsiTheme="minorEastAsia" w:eastAsiaTheme="minorEastAsia"/>
                <w:color w:val="000000"/>
                <w:szCs w:val="24"/>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47"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系统</w:t>
            </w:r>
          </w:p>
        </w:tc>
        <w:tc>
          <w:tcPr>
            <w:tcW w:w="5953" w:type="dxa"/>
            <w:tcBorders>
              <w:top w:val="single" w:color="4BACC6" w:sz="8" w:space="0"/>
              <w:left w:val="single" w:color="4BACC6" w:sz="8" w:space="0"/>
              <w:bottom w:val="single" w:color="4BACC6" w:sz="8" w:space="0"/>
              <w:right w:val="single" w:color="4BACC6" w:sz="8" w:space="0"/>
            </w:tcBorders>
            <w:shd w:val="clear" w:color="auto" w:fill="B7DDE8"/>
            <w:vAlign w:val="center"/>
          </w:tcPr>
          <w:p>
            <w:pPr>
              <w:pStyle w:val="34"/>
              <w:ind w:firstLine="0" w:firstLineChars="0"/>
              <w:jc w:val="center"/>
              <w:rPr>
                <w:rFonts w:cs="Helvetica Neue" w:asciiTheme="minorEastAsia" w:hAnsiTheme="minorEastAsia" w:eastAsiaTheme="minorEastAsia"/>
                <w:color w:val="000000"/>
                <w:szCs w:val="24"/>
              </w:rPr>
            </w:pPr>
            <w:r>
              <w:rPr>
                <w:rFonts w:hint="eastAsia" w:cs="Helvetica Neue" w:asciiTheme="minorEastAsia" w:hAnsiTheme="minorEastAsia" w:eastAsiaTheme="minorEastAsia"/>
                <w:color w:val="000000"/>
                <w:szCs w:val="24"/>
              </w:rPr>
              <w:t>Linux</w:t>
            </w:r>
            <w:r>
              <w:rPr>
                <w:rFonts w:cs="Helvetica Neue" w:asciiTheme="minorEastAsia" w:hAnsiTheme="minorEastAsia" w:eastAsiaTheme="minorEastAsia"/>
                <w:color w:val="000000"/>
                <w:szCs w:val="24"/>
              </w:rPr>
              <w:t xml:space="preserve"> CentOS</w:t>
            </w:r>
          </w:p>
        </w:tc>
      </w:tr>
    </w:tbl>
    <w:p/>
    <w:p>
      <w:pPr>
        <w:pStyle w:val="3"/>
      </w:pPr>
      <w:bookmarkStart w:id="10" w:name="_Toc26103"/>
      <w:r>
        <w:rPr>
          <w:rFonts w:hint="eastAsia"/>
        </w:rPr>
        <w:t>3.2 电脑配置</w:t>
      </w:r>
      <w:bookmarkEnd w:id="10"/>
    </w:p>
    <w:p>
      <w:r>
        <w:rPr>
          <w:rFonts w:hint="eastAsia"/>
        </w:rPr>
        <w:t>平台使用最低配置如下：</w:t>
      </w:r>
    </w:p>
    <w:p>
      <w:r>
        <w:rPr>
          <w:rFonts w:hint="eastAsia"/>
        </w:rPr>
        <w:t>操作系统：Windows</w:t>
      </w:r>
      <w:r>
        <w:t xml:space="preserve"> </w:t>
      </w:r>
      <w:r>
        <w:rPr>
          <w:rFonts w:hint="eastAsia"/>
        </w:rPr>
        <w:t>XP</w:t>
      </w:r>
      <w:r>
        <w:t xml:space="preserve"> </w:t>
      </w:r>
      <w:r>
        <w:rPr>
          <w:rFonts w:hint="eastAsia"/>
        </w:rPr>
        <w:t>及以上版本；</w:t>
      </w:r>
    </w:p>
    <w:p>
      <w:r>
        <w:rPr>
          <w:rFonts w:hint="eastAsia"/>
        </w:rPr>
        <w:t>浏览器</w:t>
      </w:r>
      <w:r>
        <w:t>：Chrome54</w:t>
      </w:r>
      <w:r>
        <w:rPr>
          <w:rFonts w:hint="eastAsia"/>
        </w:rPr>
        <w:t>、IE</w:t>
      </w:r>
      <w:r>
        <w:t>9</w:t>
      </w:r>
      <w:r>
        <w:rPr>
          <w:rFonts w:hint="eastAsia"/>
        </w:rPr>
        <w:t>.0以上版本。</w:t>
      </w:r>
    </w:p>
    <w:p>
      <w:pPr>
        <w:spacing w:line="360" w:lineRule="auto"/>
        <w:rPr>
          <w:rFonts w:asciiTheme="minorEastAsia" w:hAnsiTheme="minorEastAsia" w:eastAsiaTheme="minorEastAsia"/>
          <w:sz w:val="24"/>
        </w:rPr>
      </w:pPr>
    </w:p>
    <w:bookmarkEnd w:id="7"/>
    <w:bookmarkEnd w:id="8"/>
    <w:p>
      <w:pPr>
        <w:pStyle w:val="2"/>
        <w:spacing w:before="156" w:beforeLines="50" w:after="156" w:afterLines="50" w:line="360" w:lineRule="auto"/>
        <w:jc w:val="center"/>
        <w:sectPr>
          <w:headerReference r:id="rId9" w:type="default"/>
          <w:footerReference r:id="rId10" w:type="default"/>
          <w:pgSz w:w="11906" w:h="16838"/>
          <w:pgMar w:top="1440" w:right="1800" w:bottom="1440" w:left="1800" w:header="850" w:footer="992" w:gutter="0"/>
          <w:pgNumType w:start="3"/>
          <w:cols w:space="425" w:num="1"/>
          <w:docGrid w:type="lines" w:linePitch="312" w:charSpace="0"/>
        </w:sectPr>
      </w:pPr>
    </w:p>
    <w:p>
      <w:pPr>
        <w:pStyle w:val="2"/>
        <w:spacing w:before="156" w:beforeLines="50" w:after="156" w:afterLines="50" w:line="360" w:lineRule="auto"/>
        <w:jc w:val="center"/>
      </w:pPr>
      <w:bookmarkStart w:id="11" w:name="_Toc6138"/>
      <w:r>
        <w:rPr>
          <w:rFonts w:hint="eastAsia"/>
        </w:rPr>
        <w:t>第4章 用户权限</w:t>
      </w:r>
      <w:bookmarkEnd w:id="11"/>
    </w:p>
    <w:p>
      <w:r>
        <w:rPr>
          <w:rFonts w:hint="eastAsia"/>
        </w:rPr>
        <w:t>浙江省保安行业公共服务平台系统（以下简称“平台”）项目，</w:t>
      </w:r>
      <w:r>
        <w:t>分为2</w:t>
      </w:r>
      <w:r>
        <w:rPr>
          <w:rFonts w:hint="eastAsia"/>
        </w:rPr>
        <w:t>部分：平台主页、后台管理系统。该系统通过角色判定，进行权限设置，从而实现不同用户的协同使用。</w:t>
      </w:r>
    </w:p>
    <w:p>
      <w:pPr>
        <w:spacing w:before="156" w:beforeLines="50" w:after="156" w:afterLines="50" w:line="360" w:lineRule="auto"/>
        <w:ind w:firstLine="480" w:firstLineChars="200"/>
        <w:jc w:val="center"/>
        <w:rPr>
          <w:rFonts w:asciiTheme="minorEastAsia" w:hAnsiTheme="minorEastAsia" w:eastAsiaTheme="minorEastAsia"/>
          <w:sz w:val="24"/>
        </w:rPr>
      </w:pPr>
      <w:r>
        <w:drawing>
          <wp:inline distT="0" distB="0" distL="114300" distR="114300">
            <wp:extent cx="3930015" cy="2698115"/>
            <wp:effectExtent l="0" t="0" r="1333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3930015" cy="2698115"/>
                    </a:xfrm>
                    <a:prstGeom prst="rect">
                      <a:avLst/>
                    </a:prstGeom>
                  </pic:spPr>
                </pic:pic>
              </a:graphicData>
            </a:graphic>
          </wp:inline>
        </w:drawing>
      </w:r>
    </w:p>
    <w:p>
      <w:pPr>
        <w:jc w:val="center"/>
        <w:rPr>
          <w:rFonts w:asciiTheme="minorEastAsia" w:hAnsiTheme="minorEastAsia" w:eastAsiaTheme="minorEastAsia"/>
        </w:rPr>
      </w:pPr>
      <w:r>
        <w:rPr>
          <w:rFonts w:asciiTheme="minorEastAsia" w:hAnsiTheme="minorEastAsia" w:eastAsiaTheme="minorEastAsia"/>
        </w:rPr>
        <w:t>图</w:t>
      </w:r>
      <w:r>
        <w:rPr>
          <w:rFonts w:hint="eastAsia" w:asciiTheme="minorEastAsia" w:hAnsiTheme="minorEastAsia" w:eastAsiaTheme="minorEastAsia"/>
        </w:rPr>
        <w:t>4-1 浙江省保安行业公共服务平台框架图</w:t>
      </w:r>
    </w:p>
    <w:tbl>
      <w:tblPr>
        <w:tblStyle w:val="4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shd w:val="clear" w:color="auto" w:fill="D9E2F3"/>
            <w:vAlign w:val="center"/>
          </w:tcPr>
          <w:p>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各地市保安协会用户</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统一各开设一个账号，权限为管理所在市行政管辖范围内的单位的通知签收数据，能操作使用平台部分管理功能（如理事、常务理事推荐等）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spacing w:line="360" w:lineRule="auto"/>
              <w:ind w:firstLine="480" w:firstLineChars="200"/>
              <w:rPr>
                <w:rFonts w:hint="eastAsia" w:asciiTheme="minorEastAsia" w:hAnsiTheme="minorEastAsia" w:eastAsiaTheme="minorEastAsia"/>
                <w:sz w:val="24"/>
                <w:lang w:val="en-US"/>
              </w:rPr>
            </w:pPr>
            <w:r>
              <w:rPr>
                <w:rFonts w:hint="eastAsia" w:ascii="Calibri" w:hAnsi="Calibri"/>
                <w:lang w:val="en-US" w:eastAsia="zh-CN"/>
              </w:rPr>
              <w:t>单位</w:t>
            </w:r>
            <w:r>
              <w:rPr>
                <w:rFonts w:hint="eastAsia" w:ascii="Calibri" w:hAnsi="Calibri"/>
              </w:rPr>
              <w:t>管理：</w:t>
            </w:r>
            <w:r>
              <w:rPr>
                <w:rFonts w:hint="eastAsia" w:ascii="Calibri" w:hAnsi="Calibri"/>
                <w:lang w:val="en-US" w:eastAsia="zh-CN"/>
              </w:rPr>
              <w:t>单位信息  信息上报  会员申请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办公</w:t>
            </w:r>
            <w:r>
              <w:rPr>
                <w:rFonts w:asciiTheme="minorEastAsia" w:hAnsiTheme="minorEastAsia" w:eastAsiaTheme="minorEastAsia"/>
                <w:sz w:val="24"/>
              </w:rPr>
              <w:t>OA</w:t>
            </w:r>
            <w:r>
              <w:rPr>
                <w:rFonts w:hint="eastAsia" w:asciiTheme="minorEastAsia" w:hAnsiTheme="minorEastAsia" w:eastAsiaTheme="minorEastAsia"/>
                <w:sz w:val="24"/>
              </w:rPr>
              <w:t xml:space="preserve">：通知管理 </w:t>
            </w:r>
            <w:r>
              <w:rPr>
                <w:rFonts w:hint="eastAsia" w:asciiTheme="minorEastAsia" w:hAnsiTheme="minorEastAsia" w:eastAsiaTheme="minorEastAsia"/>
                <w:sz w:val="24"/>
                <w:lang w:val="en-US" w:eastAsia="zh-CN"/>
              </w:rPr>
              <w:t>单位人员</w:t>
            </w:r>
            <w:r>
              <w:rPr>
                <w:rFonts w:hint="eastAsia" w:asciiTheme="minorEastAsia" w:hAnsiTheme="minorEastAsia" w:eastAsiaTheme="minorEastAsia"/>
                <w:sz w:val="24"/>
              </w:rPr>
              <w:t xml:space="preserve"> 咨询投诉  会员审批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平台服务：人才招聘  业务采购  稿件管理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设置：修改密码 登录日志  操作</w:t>
            </w:r>
            <w:r>
              <w:rPr>
                <w:rFonts w:hint="eastAsia" w:asciiTheme="minorEastAsia" w:hAnsiTheme="minorEastAsia" w:eastAsiaTheme="minorEastAsia"/>
                <w:sz w:val="24"/>
                <w:lang w:val="en-US" w:eastAsia="zh-CN"/>
              </w:rPr>
              <w:t>记录</w:t>
            </w:r>
            <w:r>
              <w:rPr>
                <w:rFonts w:hint="eastAsia" w:asciiTheme="minorEastAsia" w:hAnsiTheme="minorEastAsia" w:eastAsiaTheme="minor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其他： 通讯录 </w:t>
            </w:r>
          </w:p>
        </w:tc>
      </w:tr>
    </w:tbl>
    <w:p>
      <w:pPr>
        <w:pStyle w:val="2"/>
        <w:spacing w:before="156" w:beforeLines="50" w:after="156" w:afterLines="50" w:line="360" w:lineRule="auto"/>
        <w:jc w:val="center"/>
      </w:pPr>
    </w:p>
    <w:p>
      <w:pPr>
        <w:pStyle w:val="2"/>
        <w:spacing w:before="156" w:beforeLines="50" w:after="156" w:afterLines="50" w:line="360" w:lineRule="auto"/>
        <w:jc w:val="center"/>
        <w:sectPr>
          <w:footerReference r:id="rId11" w:type="default"/>
          <w:pgSz w:w="11906" w:h="16838"/>
          <w:pgMar w:top="1440" w:right="1800" w:bottom="1440" w:left="1800" w:header="850" w:footer="992" w:gutter="0"/>
          <w:pgNumType w:start="5"/>
          <w:cols w:space="425" w:num="1"/>
          <w:docGrid w:type="lines" w:linePitch="312" w:charSpace="0"/>
        </w:sectPr>
      </w:pPr>
    </w:p>
    <w:p>
      <w:pPr>
        <w:pStyle w:val="2"/>
        <w:spacing w:before="156" w:beforeLines="50" w:after="156" w:afterLines="50" w:line="360" w:lineRule="auto"/>
        <w:jc w:val="center"/>
      </w:pPr>
      <w:bookmarkStart w:id="12" w:name="_Toc28988"/>
      <w:r>
        <w:rPr>
          <w:rFonts w:hint="eastAsia"/>
        </w:rPr>
        <w:t>第5章 操作说明</w:t>
      </w:r>
      <w:bookmarkEnd w:id="12"/>
    </w:p>
    <w:p>
      <w:pPr>
        <w:pStyle w:val="3"/>
        <w:jc w:val="left"/>
      </w:pPr>
      <w:bookmarkStart w:id="13" w:name="_Toc8906"/>
      <w:bookmarkStart w:id="14" w:name="_Toc13200"/>
      <w:r>
        <w:rPr>
          <w:rFonts w:hint="eastAsia"/>
        </w:rPr>
        <w:t>5.1首页</w:t>
      </w:r>
      <w:bookmarkEnd w:id="13"/>
      <w:r>
        <w:t xml:space="preserve"> </w:t>
      </w:r>
    </w:p>
    <w:p>
      <w:r>
        <w:rPr>
          <w:rFonts w:hint="eastAsia"/>
        </w:rPr>
        <w:t>平台主页的首页，从单位登录处进入，点击“人像图标”进入单位后台，后台首页有消息和重点待办事项提示，如图5-1、5-2所示。</w:t>
      </w:r>
    </w:p>
    <w:p>
      <w:pPr>
        <w:jc w:val="center"/>
      </w:pPr>
      <w:r>
        <w:rPr>
          <w:b/>
          <w:bCs/>
          <w:sz w:val="28"/>
          <w:szCs w:val="28"/>
        </w:rPr>
        <w:drawing>
          <wp:inline distT="0" distB="0" distL="0" distR="0">
            <wp:extent cx="3522345" cy="2074545"/>
            <wp:effectExtent l="0" t="0" r="825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3542593" cy="2086914"/>
                    </a:xfrm>
                    <a:prstGeom prst="rect">
                      <a:avLst/>
                    </a:prstGeom>
                  </pic:spPr>
                </pic:pic>
              </a:graphicData>
            </a:graphic>
          </wp:inline>
        </w:drawing>
      </w:r>
    </w:p>
    <w:p>
      <w:pPr>
        <w:jc w:val="center"/>
      </w:pPr>
      <w:r>
        <w:rPr>
          <w:rFonts w:hint="eastAsia"/>
        </w:rPr>
        <w:t>图5-1前台首页示意图</w:t>
      </w:r>
    </w:p>
    <w:p>
      <w:pPr>
        <w:jc w:val="center"/>
      </w:pPr>
      <w:r>
        <w:rPr>
          <w:rFonts w:asciiTheme="minorEastAsia" w:hAnsiTheme="minorEastAsia" w:eastAsiaTheme="minorEastAsia"/>
          <w:b/>
          <w:sz w:val="28"/>
        </w:rPr>
        <w:drawing>
          <wp:inline distT="0" distB="0" distL="0" distR="0">
            <wp:extent cx="3632200" cy="1784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661364" cy="1798944"/>
                    </a:xfrm>
                    <a:prstGeom prst="rect">
                      <a:avLst/>
                    </a:prstGeom>
                  </pic:spPr>
                </pic:pic>
              </a:graphicData>
            </a:graphic>
          </wp:inline>
        </w:drawing>
      </w:r>
    </w:p>
    <w:p>
      <w:pPr>
        <w:jc w:val="center"/>
      </w:pPr>
      <w:r>
        <w:rPr>
          <w:rFonts w:hint="eastAsia"/>
        </w:rPr>
        <w:t>图5-2后台首页示意图</w:t>
      </w:r>
    </w:p>
    <w:p>
      <w:pPr>
        <w:pStyle w:val="3"/>
      </w:pPr>
      <w:bookmarkStart w:id="15" w:name="_Toc29841"/>
      <w:r>
        <w:rPr>
          <w:rFonts w:hint="eastAsia"/>
        </w:rPr>
        <w:t>5.2单位管理</w:t>
      </w:r>
      <w:bookmarkEnd w:id="15"/>
    </w:p>
    <w:p>
      <w:pPr>
        <w:pStyle w:val="4"/>
      </w:pPr>
      <w:bookmarkStart w:id="16" w:name="_Toc12440"/>
      <w:r>
        <w:rPr>
          <w:rFonts w:hint="eastAsia"/>
        </w:rPr>
        <w:t>5.2.1单位信息</w:t>
      </w:r>
      <w:bookmarkEnd w:id="16"/>
    </w:p>
    <w:p>
      <w:r>
        <w:rPr>
          <w:rFonts w:hint="eastAsia"/>
        </w:rPr>
        <w:t>此处，是对单位相关信息进行采集，单位信息首页，点击蓝色图标，即可进行信息编辑，如图5-3所示。</w:t>
      </w:r>
    </w:p>
    <w:p>
      <w:pPr>
        <w:jc w:val="center"/>
      </w:pPr>
      <w:r>
        <w:drawing>
          <wp:inline distT="0" distB="0" distL="0" distR="0">
            <wp:extent cx="4206875" cy="2128520"/>
            <wp:effectExtent l="0" t="0" r="952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4209554" cy="2129611"/>
                    </a:xfrm>
                    <a:prstGeom prst="rect">
                      <a:avLst/>
                    </a:prstGeom>
                  </pic:spPr>
                </pic:pic>
              </a:graphicData>
            </a:graphic>
          </wp:inline>
        </w:drawing>
      </w:r>
    </w:p>
    <w:p>
      <w:pPr>
        <w:jc w:val="center"/>
      </w:pPr>
      <w:r>
        <w:rPr>
          <w:rFonts w:hint="eastAsia"/>
        </w:rPr>
        <w:t>图5-3单位信息首页示意图</w:t>
      </w:r>
    </w:p>
    <w:p>
      <w:r>
        <w:rPr>
          <w:rFonts w:hint="eastAsia"/>
        </w:rPr>
        <w:t>【单位信息】包括，“单位信息”“从业人员”“宣传图片”“公开信息”四个子项目，其中标</w:t>
      </w:r>
      <w:r>
        <w:rPr>
          <w:rFonts w:hint="eastAsia"/>
          <w:color w:val="FF0000"/>
        </w:rPr>
        <w:t>*</w:t>
      </w:r>
      <w:r>
        <w:rPr>
          <w:rFonts w:hint="eastAsia"/>
        </w:rPr>
        <w:t>的为必填项目，如图5-4所示。【公开信息】会展示在平台主页，因此需要提交浙江省保安协会审核，通过后，会员单位会在协会会员处查看到自己的主页。【人才招聘】和【业务采购】的负责人、联系人、联系方式，以及单位介绍等信息都来自于此。</w:t>
      </w:r>
    </w:p>
    <w:p/>
    <w:p>
      <w:pPr>
        <w:jc w:val="center"/>
      </w:pPr>
      <w:r>
        <w:drawing>
          <wp:inline distT="0" distB="0" distL="114300" distR="114300">
            <wp:extent cx="4361815" cy="3120390"/>
            <wp:effectExtent l="0" t="0" r="6985" b="381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9"/>
                    <a:stretch>
                      <a:fillRect/>
                    </a:stretch>
                  </pic:blipFill>
                  <pic:spPr>
                    <a:xfrm>
                      <a:off x="0" y="0"/>
                      <a:ext cx="4366606" cy="3124114"/>
                    </a:xfrm>
                    <a:prstGeom prst="rect">
                      <a:avLst/>
                    </a:prstGeom>
                    <a:noFill/>
                    <a:ln w="9525">
                      <a:noFill/>
                    </a:ln>
                  </pic:spPr>
                </pic:pic>
              </a:graphicData>
            </a:graphic>
          </wp:inline>
        </w:drawing>
      </w:r>
    </w:p>
    <w:p>
      <w:pPr>
        <w:jc w:val="center"/>
      </w:pPr>
      <w:r>
        <w:rPr>
          <w:rFonts w:hint="eastAsia"/>
        </w:rPr>
        <w:t>图5-4单位信息编辑页面示意图</w:t>
      </w:r>
    </w:p>
    <w:p/>
    <w:p>
      <w:r>
        <w:rPr>
          <w:rFonts w:hint="eastAsia"/>
        </w:rPr>
        <w:t>注意：每次修改信息都需要重新提交，并审核。</w:t>
      </w:r>
    </w:p>
    <w:p>
      <w:pPr>
        <w:pStyle w:val="4"/>
      </w:pPr>
      <w:bookmarkStart w:id="17" w:name="_Toc31327"/>
      <w:r>
        <w:rPr>
          <w:rFonts w:hint="eastAsia"/>
        </w:rPr>
        <w:t>5.2.2 信息上报</w:t>
      </w:r>
      <w:bookmarkEnd w:id="17"/>
    </w:p>
    <w:p>
      <w:r>
        <w:rPr>
          <w:rFonts w:hint="eastAsia"/>
        </w:rPr>
        <w:t>浙江省保安协会，需定期对行业相关单位做信息调查，发布调查报告。用户可点击【待填写】按钮进行填写，填写完成后，可保存草稿，可再次【编辑】，点击【提交】之后，信息将上报到省保安协会，之后只可查看本单位的填写【详情】，如图5-5所示。</w:t>
      </w:r>
    </w:p>
    <w:p>
      <w:pPr>
        <w:jc w:val="center"/>
      </w:pPr>
      <w:r>
        <w:rPr>
          <w:rFonts w:hint="eastAsia"/>
        </w:rPr>
        <w:drawing>
          <wp:inline distT="0" distB="0" distL="114300" distR="114300">
            <wp:extent cx="5267960" cy="1915160"/>
            <wp:effectExtent l="0" t="0" r="8890" b="8890"/>
            <wp:docPr id="49" name="图片 49" descr="152999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29997095(1)"/>
                    <pic:cNvPicPr>
                      <a:picLocks noChangeAspect="1"/>
                    </pic:cNvPicPr>
                  </pic:nvPicPr>
                  <pic:blipFill>
                    <a:blip r:embed="rId20"/>
                    <a:stretch>
                      <a:fillRect/>
                    </a:stretch>
                  </pic:blipFill>
                  <pic:spPr>
                    <a:xfrm>
                      <a:off x="0" y="0"/>
                      <a:ext cx="5267960" cy="1915160"/>
                    </a:xfrm>
                    <a:prstGeom prst="rect">
                      <a:avLst/>
                    </a:prstGeom>
                  </pic:spPr>
                </pic:pic>
              </a:graphicData>
            </a:graphic>
          </wp:inline>
        </w:drawing>
      </w:r>
    </w:p>
    <w:p>
      <w:pPr>
        <w:jc w:val="center"/>
      </w:pPr>
      <w:r>
        <w:rPr>
          <w:rFonts w:hint="eastAsia"/>
        </w:rPr>
        <w:t>图5-5 信息上报表格示意图</w:t>
      </w:r>
    </w:p>
    <w:p>
      <w:pPr>
        <w:pStyle w:val="4"/>
      </w:pPr>
      <w:bookmarkStart w:id="18" w:name="_Toc11684"/>
      <w:r>
        <w:rPr>
          <w:rFonts w:hint="eastAsia"/>
        </w:rPr>
        <w:t>5.2.3会员申请</w:t>
      </w:r>
      <w:bookmarkEnd w:id="18"/>
    </w:p>
    <w:p>
      <w:r>
        <w:rPr>
          <w:rFonts w:hint="eastAsia"/>
        </w:rPr>
        <w:t>会员申请栏，用户可以看到本单位当前的会员级别，并可实现在线申请，即会员，可申请成为理事，理事可申请成为常务理事，常务理事可申请成为会长单位。</w:t>
      </w:r>
    </w:p>
    <w:p/>
    <w:p>
      <w:pPr>
        <w:jc w:val="left"/>
      </w:pPr>
      <w:r>
        <w:rPr>
          <w:rFonts w:hint="eastAsia"/>
        </w:rPr>
        <w:t>单位填写表格之后，需要下载【申请表】，加盖单位章后上传扫描件，并提交审核，省内各地市成为理事或常务理事申请时，需各地市的推荐意见，之后再流转浙江省省保安协会，协会召开的理事会表决后，处理申请需求。如图5-6所示。</w:t>
      </w:r>
      <w:r>
        <w:drawing>
          <wp:inline distT="0" distB="0" distL="114300" distR="114300">
            <wp:extent cx="5265420" cy="2230755"/>
            <wp:effectExtent l="0" t="0" r="11430" b="1714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1"/>
                    <a:stretch>
                      <a:fillRect/>
                    </a:stretch>
                  </pic:blipFill>
                  <pic:spPr>
                    <a:xfrm>
                      <a:off x="0" y="0"/>
                      <a:ext cx="5265420" cy="2230755"/>
                    </a:xfrm>
                    <a:prstGeom prst="rect">
                      <a:avLst/>
                    </a:prstGeom>
                    <a:noFill/>
                    <a:ln w="9525">
                      <a:noFill/>
                    </a:ln>
                  </pic:spPr>
                </pic:pic>
              </a:graphicData>
            </a:graphic>
          </wp:inline>
        </w:drawing>
      </w:r>
    </w:p>
    <w:p>
      <w:pPr>
        <w:jc w:val="center"/>
      </w:pPr>
      <w:r>
        <w:rPr>
          <w:rFonts w:hint="eastAsia"/>
        </w:rPr>
        <w:t>图5-6会员申请示意图</w:t>
      </w:r>
    </w:p>
    <w:p>
      <w:pPr>
        <w:pStyle w:val="3"/>
      </w:pPr>
      <w:bookmarkStart w:id="19" w:name="_Toc887"/>
      <w:r>
        <w:rPr>
          <w:rFonts w:hint="eastAsia"/>
        </w:rPr>
        <w:t>5.3办公OA</w:t>
      </w:r>
      <w:bookmarkEnd w:id="19"/>
    </w:p>
    <w:p>
      <w:pPr>
        <w:pStyle w:val="4"/>
      </w:pPr>
      <w:bookmarkStart w:id="20" w:name="_Toc3780"/>
      <w:r>
        <w:rPr>
          <w:rFonts w:hint="eastAsia"/>
        </w:rPr>
        <w:t>5.3.1 通知管理</w:t>
      </w:r>
      <w:bookmarkEnd w:id="20"/>
    </w:p>
    <w:p>
      <w:r>
        <w:rPr>
          <w:rFonts w:hint="eastAsia"/>
        </w:rPr>
        <w:t>通知信息是浙江省保安协会发布到各单位的公文，分为需签收、无需签收两大类。其中需要签收的通知又分为三类，一类是固定的报名回执，一类是固定回执（包括签收人/联系电话/签收单位固定内容的收集），还有一类是自定义创建的签收回执。</w:t>
      </w:r>
    </w:p>
    <w:p/>
    <w:p>
      <w:pPr>
        <w:pStyle w:val="33"/>
        <w:numPr>
          <w:ilvl w:val="0"/>
          <w:numId w:val="3"/>
        </w:numPr>
        <w:ind w:left="420" w:leftChars="0" w:hanging="420" w:firstLineChars="0"/>
      </w:pPr>
      <w:r>
        <w:rPr>
          <w:rFonts w:hint="eastAsia"/>
        </w:rPr>
        <w:t>无需签收的通知，只需单位阅读即可，如图5-7所示。</w:t>
      </w:r>
    </w:p>
    <w:p>
      <w:pPr>
        <w:pStyle w:val="33"/>
        <w:numPr>
          <w:ilvl w:val="0"/>
          <w:numId w:val="3"/>
        </w:numPr>
        <w:ind w:left="420" w:leftChars="0" w:hanging="420" w:firstLineChars="0"/>
      </w:pPr>
      <w:r>
        <w:rPr>
          <w:rFonts w:hint="eastAsia"/>
        </w:rPr>
        <w:t>需签收且不需创建的回执通知，签收内容固定，填写提交即可，如图5-8所示</w:t>
      </w:r>
    </w:p>
    <w:p>
      <w:pPr>
        <w:pStyle w:val="33"/>
        <w:numPr>
          <w:ilvl w:val="0"/>
          <w:numId w:val="3"/>
        </w:numPr>
        <w:ind w:left="420" w:leftChars="0" w:hanging="420" w:firstLineChars="0"/>
      </w:pPr>
      <w:r>
        <w:rPr>
          <w:rFonts w:hint="eastAsia"/>
        </w:rPr>
        <w:t>需签收且含报名回执的通知，单位需要给本单位的人员报名。因为【人员名单】处，单位可以录入本单位人员的基本信息，所以报名时，只需填写每次报名不一样的信息，并勾选人员姓名即可，每勾选一个人，填一次可变的信息，最后点击【提交报名】，随后可在【报名列表】中，看到本次通知报名的人员信息，如图5-9、5-10所示。</w:t>
      </w:r>
    </w:p>
    <w:p>
      <w:pPr>
        <w:pStyle w:val="33"/>
        <w:numPr>
          <w:ilvl w:val="0"/>
          <w:numId w:val="3"/>
        </w:numPr>
        <w:ind w:left="420" w:leftChars="0" w:hanging="420" w:firstLineChars="0"/>
      </w:pPr>
      <w:r>
        <w:rPr>
          <w:rFonts w:hint="eastAsia"/>
        </w:rPr>
        <w:t>需签收且含其他自定义回执的通知，需本单位填写并提交。如图5-11所示。</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114300" distR="114300">
            <wp:extent cx="3584575" cy="1901825"/>
            <wp:effectExtent l="0" t="0" r="15875" b="3175"/>
            <wp:docPr id="53" name="图片 53" descr="1529998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29998854(1)"/>
                    <pic:cNvPicPr>
                      <a:picLocks noChangeAspect="1"/>
                    </pic:cNvPicPr>
                  </pic:nvPicPr>
                  <pic:blipFill>
                    <a:blip r:embed="rId22"/>
                    <a:stretch>
                      <a:fillRect/>
                    </a:stretch>
                  </pic:blipFill>
                  <pic:spPr>
                    <a:xfrm>
                      <a:off x="0" y="0"/>
                      <a:ext cx="3584575" cy="1901825"/>
                    </a:xfrm>
                    <a:prstGeom prst="rect">
                      <a:avLst/>
                    </a:prstGeom>
                  </pic:spPr>
                </pic:pic>
              </a:graphicData>
            </a:graphic>
          </wp:inline>
        </w:drawing>
      </w:r>
    </w:p>
    <w:p>
      <w:pPr>
        <w:jc w:val="center"/>
      </w:pPr>
      <w:r>
        <w:rPr>
          <w:rFonts w:hint="eastAsia"/>
        </w:rPr>
        <w:t>图5-7签收列表示意图</w:t>
      </w:r>
    </w:p>
    <w:p>
      <w:pPr>
        <w:spacing w:line="360" w:lineRule="auto"/>
        <w:jc w:val="center"/>
        <w:rPr>
          <w:rFonts w:asciiTheme="minorEastAsia" w:hAnsiTheme="minorEastAsia" w:eastAsiaTheme="minorEastAsia"/>
          <w:sz w:val="24"/>
        </w:rPr>
      </w:pPr>
      <w:r>
        <w:drawing>
          <wp:inline distT="0" distB="0" distL="114300" distR="114300">
            <wp:extent cx="5273040" cy="2345690"/>
            <wp:effectExtent l="0" t="0" r="3810" b="1651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3"/>
                    <a:stretch>
                      <a:fillRect/>
                    </a:stretch>
                  </pic:blipFill>
                  <pic:spPr>
                    <a:xfrm>
                      <a:off x="0" y="0"/>
                      <a:ext cx="5273040" cy="2345690"/>
                    </a:xfrm>
                    <a:prstGeom prst="rect">
                      <a:avLst/>
                    </a:prstGeom>
                    <a:noFill/>
                    <a:ln w="9525">
                      <a:noFill/>
                    </a:ln>
                  </pic:spPr>
                </pic:pic>
              </a:graphicData>
            </a:graphic>
          </wp:inline>
        </w:drawing>
      </w:r>
    </w:p>
    <w:p>
      <w:pPr>
        <w:jc w:val="center"/>
      </w:pPr>
      <w:r>
        <w:rPr>
          <w:rFonts w:hint="eastAsia"/>
        </w:rPr>
        <w:t>图5-7固定填写内容的通知签收的列表示意图</w:t>
      </w:r>
    </w:p>
    <w:p>
      <w:pPr>
        <w:spacing w:line="360" w:lineRule="auto"/>
        <w:jc w:val="center"/>
      </w:pPr>
      <w:r>
        <w:drawing>
          <wp:inline distT="0" distB="0" distL="114300" distR="114300">
            <wp:extent cx="4299585" cy="2693035"/>
            <wp:effectExtent l="0" t="0" r="571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24"/>
                    <a:stretch>
                      <a:fillRect/>
                    </a:stretch>
                  </pic:blipFill>
                  <pic:spPr>
                    <a:xfrm>
                      <a:off x="0" y="0"/>
                      <a:ext cx="4299585" cy="2693035"/>
                    </a:xfrm>
                    <a:prstGeom prst="rect">
                      <a:avLst/>
                    </a:prstGeom>
                    <a:noFill/>
                    <a:ln w="9525">
                      <a:noFill/>
                    </a:ln>
                  </pic:spPr>
                </pic:pic>
              </a:graphicData>
            </a:graphic>
          </wp:inline>
        </w:drawing>
      </w:r>
    </w:p>
    <w:p>
      <w:pPr>
        <w:jc w:val="center"/>
      </w:pPr>
      <w:r>
        <w:rPr>
          <w:rFonts w:hint="eastAsia"/>
        </w:rPr>
        <w:t>图5-9含报名回执的签收回执示意图</w:t>
      </w:r>
    </w:p>
    <w:p>
      <w:pPr>
        <w:spacing w:line="360" w:lineRule="auto"/>
        <w:jc w:val="center"/>
        <w:rPr>
          <w:rFonts w:asciiTheme="minorEastAsia" w:hAnsiTheme="minorEastAsia" w:eastAsiaTheme="minorEastAsia"/>
          <w:sz w:val="24"/>
        </w:rPr>
      </w:pPr>
      <w:r>
        <w:drawing>
          <wp:inline distT="0" distB="0" distL="114300" distR="114300">
            <wp:extent cx="5262245" cy="1603375"/>
            <wp:effectExtent l="0" t="0" r="14605" b="1587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5"/>
                    <a:stretch>
                      <a:fillRect/>
                    </a:stretch>
                  </pic:blipFill>
                  <pic:spPr>
                    <a:xfrm>
                      <a:off x="0" y="0"/>
                      <a:ext cx="5262245" cy="1603375"/>
                    </a:xfrm>
                    <a:prstGeom prst="rect">
                      <a:avLst/>
                    </a:prstGeom>
                    <a:noFill/>
                    <a:ln w="9525">
                      <a:noFill/>
                    </a:ln>
                  </pic:spPr>
                </pic:pic>
              </a:graphicData>
            </a:graphic>
          </wp:inline>
        </w:drawing>
      </w:r>
    </w:p>
    <w:p>
      <w:pPr>
        <w:jc w:val="center"/>
      </w:pPr>
      <w:r>
        <w:rPr>
          <w:rFonts w:hint="eastAsia"/>
        </w:rPr>
        <w:t>图5-10报名列表示意图</w:t>
      </w:r>
    </w:p>
    <w:p>
      <w:pPr>
        <w:jc w:val="center"/>
      </w:pPr>
      <w:r>
        <w:drawing>
          <wp:inline distT="0" distB="0" distL="114300" distR="114300">
            <wp:extent cx="5263515" cy="2407285"/>
            <wp:effectExtent l="0" t="0" r="13335" b="12065"/>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pic:cNvPicPr>
                      <a:picLocks noChangeAspect="1"/>
                    </pic:cNvPicPr>
                  </pic:nvPicPr>
                  <pic:blipFill>
                    <a:blip r:embed="rId26"/>
                    <a:stretch>
                      <a:fillRect/>
                    </a:stretch>
                  </pic:blipFill>
                  <pic:spPr>
                    <a:xfrm>
                      <a:off x="0" y="0"/>
                      <a:ext cx="5263515" cy="2407285"/>
                    </a:xfrm>
                    <a:prstGeom prst="rect">
                      <a:avLst/>
                    </a:prstGeom>
                    <a:noFill/>
                    <a:ln w="9525">
                      <a:noFill/>
                    </a:ln>
                  </pic:spPr>
                </pic:pic>
              </a:graphicData>
            </a:graphic>
          </wp:inline>
        </w:drawing>
      </w:r>
    </w:p>
    <w:p>
      <w:pPr>
        <w:jc w:val="center"/>
      </w:pPr>
      <w:r>
        <w:rPr>
          <w:rFonts w:hint="eastAsia"/>
        </w:rPr>
        <w:t>图5-11自定义签收回执的示意图</w:t>
      </w:r>
    </w:p>
    <w:p>
      <w:pPr>
        <w:pStyle w:val="4"/>
        <w:rPr>
          <w:rFonts w:hint="eastAsia" w:eastAsia="宋体"/>
          <w:lang w:eastAsia="zh-CN"/>
        </w:rPr>
      </w:pPr>
      <w:bookmarkStart w:id="21" w:name="_Toc29562"/>
      <w:r>
        <w:rPr>
          <w:rFonts w:hint="eastAsia"/>
        </w:rPr>
        <w:t xml:space="preserve">5.3.2 </w:t>
      </w:r>
      <w:r>
        <w:rPr>
          <w:rFonts w:hint="eastAsia"/>
          <w:lang w:eastAsia="zh-CN"/>
        </w:rPr>
        <w:t>单位人员</w:t>
      </w:r>
      <w:bookmarkEnd w:id="21"/>
    </w:p>
    <w:p>
      <w:pPr>
        <w:spacing w:line="360" w:lineRule="auto"/>
        <w:jc w:val="left"/>
      </w:pPr>
      <w:r>
        <w:rPr>
          <w:rFonts w:hint="eastAsia"/>
        </w:rPr>
        <w:t>【</w:t>
      </w:r>
      <w:r>
        <w:rPr>
          <w:rFonts w:hint="eastAsia"/>
          <w:lang w:eastAsia="zh-CN"/>
        </w:rPr>
        <w:t>单位人员</w:t>
      </w:r>
      <w:r>
        <w:rPr>
          <w:rFonts w:hint="eastAsia"/>
        </w:rPr>
        <w:t>】此处，可以【新增】本单位的人员基本信息，如图5-12所示，报名时，已录入的人员可直接勾选姓名，进行报名。当人员信息有变化时，可点击【编辑】按钮，修改相关信息，如图5-13所示。</w:t>
      </w:r>
    </w:p>
    <w:p>
      <w:pPr>
        <w:jc w:val="center"/>
      </w:pPr>
      <w:r>
        <w:rPr>
          <w:rFonts w:hint="eastAsia"/>
        </w:rPr>
        <w:drawing>
          <wp:inline distT="0" distB="0" distL="114300" distR="114300">
            <wp:extent cx="5269230" cy="1624965"/>
            <wp:effectExtent l="0" t="0" r="7620" b="13335"/>
            <wp:docPr id="59" name="图片 59" descr="1530008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30008113(1)"/>
                    <pic:cNvPicPr>
                      <a:picLocks noChangeAspect="1"/>
                    </pic:cNvPicPr>
                  </pic:nvPicPr>
                  <pic:blipFill>
                    <a:blip r:embed="rId27"/>
                    <a:stretch>
                      <a:fillRect/>
                    </a:stretch>
                  </pic:blipFill>
                  <pic:spPr>
                    <a:xfrm>
                      <a:off x="0" y="0"/>
                      <a:ext cx="5269230" cy="1624965"/>
                    </a:xfrm>
                    <a:prstGeom prst="rect">
                      <a:avLst/>
                    </a:prstGeom>
                  </pic:spPr>
                </pic:pic>
              </a:graphicData>
            </a:graphic>
          </wp:inline>
        </w:drawing>
      </w:r>
    </w:p>
    <w:p>
      <w:pPr>
        <w:jc w:val="center"/>
      </w:pPr>
      <w:r>
        <w:rPr>
          <w:rFonts w:hint="eastAsia"/>
        </w:rPr>
        <w:t>图5-12本单位人员名单的示意图</w:t>
      </w:r>
    </w:p>
    <w:p/>
    <w:p>
      <w:pPr>
        <w:jc w:val="center"/>
      </w:pPr>
      <w:r>
        <w:drawing>
          <wp:inline distT="0" distB="0" distL="114300" distR="114300">
            <wp:extent cx="3498850" cy="3733800"/>
            <wp:effectExtent l="0" t="0" r="6350" b="0"/>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28"/>
                    <a:stretch>
                      <a:fillRect/>
                    </a:stretch>
                  </pic:blipFill>
                  <pic:spPr>
                    <a:xfrm>
                      <a:off x="0" y="0"/>
                      <a:ext cx="3498850" cy="3733800"/>
                    </a:xfrm>
                    <a:prstGeom prst="rect">
                      <a:avLst/>
                    </a:prstGeom>
                    <a:noFill/>
                    <a:ln w="9525">
                      <a:noFill/>
                    </a:ln>
                  </pic:spPr>
                </pic:pic>
              </a:graphicData>
            </a:graphic>
          </wp:inline>
        </w:drawing>
      </w:r>
    </w:p>
    <w:p>
      <w:pPr>
        <w:jc w:val="center"/>
      </w:pPr>
      <w:r>
        <w:rPr>
          <w:rFonts w:hint="eastAsia"/>
        </w:rPr>
        <w:t>图5-13本单位人员名单的示意图</w:t>
      </w:r>
    </w:p>
    <w:p>
      <w:pPr>
        <w:pStyle w:val="4"/>
      </w:pPr>
      <w:bookmarkStart w:id="22" w:name="_Toc27316"/>
      <w:r>
        <w:rPr>
          <w:rFonts w:hint="eastAsia"/>
        </w:rPr>
        <w:t>5.3.3 会员审批</w:t>
      </w:r>
      <w:bookmarkEnd w:id="22"/>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本地市单位申请理事/常务理事变更时，需要本地市协会的推荐意见，需要进行审核。审核列表的左边是申请详情，底部附带单位盖章的申请书扫描件，如图5-14所示。</w:t>
      </w:r>
    </w:p>
    <w:p>
      <w:pPr>
        <w:spacing w:line="360" w:lineRule="auto"/>
        <w:jc w:val="left"/>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4310" cy="204089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040890"/>
                    </a:xfrm>
                    <a:prstGeom prst="rect">
                      <a:avLst/>
                    </a:prstGeom>
                  </pic:spPr>
                </pic:pic>
              </a:graphicData>
            </a:graphic>
          </wp:inline>
        </w:drawing>
      </w:r>
    </w:p>
    <w:p>
      <w:pPr>
        <w:jc w:val="center"/>
      </w:pPr>
      <w:r>
        <w:rPr>
          <w:rFonts w:hint="eastAsia"/>
        </w:rPr>
        <w:t>图5-14市协会审核界面的示意图</w:t>
      </w:r>
    </w:p>
    <w:p>
      <w:pPr>
        <w:pStyle w:val="4"/>
      </w:pPr>
      <w:bookmarkStart w:id="23" w:name="_Toc10599"/>
      <w:r>
        <w:rPr>
          <w:rFonts w:hint="eastAsia"/>
        </w:rPr>
        <w:t>5.3.4咨询投诉</w:t>
      </w:r>
      <w:bookmarkEnd w:id="23"/>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其他单位或个人，咨询/投诉时，省市协会用户需要先上协同办公，处理反馈，如图5-15所示。</w:t>
      </w:r>
    </w:p>
    <w:p>
      <w:pPr>
        <w:spacing w:line="360" w:lineRule="auto"/>
        <w:jc w:val="center"/>
      </w:pPr>
      <w:r>
        <w:drawing>
          <wp:inline distT="0" distB="0" distL="114300" distR="114300">
            <wp:extent cx="3337560" cy="1903730"/>
            <wp:effectExtent l="0" t="0" r="0"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0"/>
                    <a:stretch>
                      <a:fillRect/>
                    </a:stretch>
                  </pic:blipFill>
                  <pic:spPr>
                    <a:xfrm>
                      <a:off x="0" y="0"/>
                      <a:ext cx="3351845" cy="1912514"/>
                    </a:xfrm>
                    <a:prstGeom prst="rect">
                      <a:avLst/>
                    </a:prstGeom>
                    <a:noFill/>
                    <a:ln w="9525">
                      <a:noFill/>
                    </a:ln>
                  </pic:spPr>
                </pic:pic>
              </a:graphicData>
            </a:graphic>
          </wp:inline>
        </w:drawing>
      </w:r>
    </w:p>
    <w:p>
      <w:pPr>
        <w:spacing w:line="360" w:lineRule="auto"/>
        <w:jc w:val="center"/>
      </w:pPr>
      <w:r>
        <w:rPr>
          <w:rFonts w:hint="eastAsia"/>
        </w:rPr>
        <w:t>图5-15市协会咨询投诉处理的示意图</w:t>
      </w:r>
    </w:p>
    <w:p>
      <w:pPr>
        <w:spacing w:line="360" w:lineRule="auto"/>
        <w:jc w:val="left"/>
        <w:rPr>
          <w:rFonts w:asciiTheme="minorEastAsia" w:hAnsiTheme="minorEastAsia" w:eastAsiaTheme="minorEastAsia"/>
          <w:sz w:val="24"/>
        </w:rPr>
      </w:pPr>
    </w:p>
    <w:p>
      <w:pPr>
        <w:jc w:val="both"/>
      </w:pPr>
    </w:p>
    <w:p>
      <w:pPr>
        <w:pStyle w:val="3"/>
      </w:pPr>
      <w:bookmarkStart w:id="24" w:name="_Toc731"/>
      <w:r>
        <w:rPr>
          <w:rFonts w:hint="eastAsia"/>
        </w:rPr>
        <w:t>5.4业务采购</w:t>
      </w:r>
      <w:bookmarkEnd w:id="24"/>
    </w:p>
    <w:p>
      <w:r>
        <w:rPr>
          <w:rFonts w:hint="eastAsia"/>
        </w:rPr>
        <w:t>用户，可在采购管理/供需管理栏，【新增】业务需求，提交浙江省保安协会审核通过后，即可发布到平台主页，发起的业务需求状态列表如图5-16所示。状态分：审核中、进行中、已截止、已下架。</w:t>
      </w:r>
    </w:p>
    <w:p/>
    <w:p>
      <w:r>
        <w:rPr>
          <w:rFonts w:hint="eastAsia"/>
        </w:rPr>
        <w:t>审核中：单位后台【新增】和【上架】，都需审核。</w:t>
      </w:r>
    </w:p>
    <w:p>
      <w:r>
        <w:rPr>
          <w:rFonts w:hint="eastAsia"/>
        </w:rPr>
        <w:t>进行中：审核通过后，即可进入此状态（未过截止日期）。</w:t>
      </w:r>
    </w:p>
    <w:p>
      <w:r>
        <w:rPr>
          <w:rFonts w:hint="eastAsia"/>
        </w:rPr>
        <w:t>已截止：已过截止日期。</w:t>
      </w:r>
    </w:p>
    <w:p>
      <w:r>
        <w:rPr>
          <w:rFonts w:hint="eastAsia"/>
        </w:rPr>
        <w:t>已下架：单位端点击【下架】或者浙江省保安协会操作【下架】。</w:t>
      </w:r>
    </w:p>
    <w:p>
      <w:pPr>
        <w:jc w:val="center"/>
      </w:pPr>
      <w:r>
        <w:rPr>
          <w:rFonts w:hint="eastAsia"/>
        </w:rPr>
        <w:drawing>
          <wp:inline distT="0" distB="0" distL="114300" distR="114300">
            <wp:extent cx="2823845" cy="1603375"/>
            <wp:effectExtent l="0" t="0" r="14605" b="15875"/>
            <wp:docPr id="68" name="图片 68" descr="1530009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30009902(1)"/>
                    <pic:cNvPicPr>
                      <a:picLocks noChangeAspect="1"/>
                    </pic:cNvPicPr>
                  </pic:nvPicPr>
                  <pic:blipFill>
                    <a:blip r:embed="rId31"/>
                    <a:stretch>
                      <a:fillRect/>
                    </a:stretch>
                  </pic:blipFill>
                  <pic:spPr>
                    <a:xfrm>
                      <a:off x="0" y="0"/>
                      <a:ext cx="2823845" cy="1603375"/>
                    </a:xfrm>
                    <a:prstGeom prst="rect">
                      <a:avLst/>
                    </a:prstGeom>
                  </pic:spPr>
                </pic:pic>
              </a:graphicData>
            </a:graphic>
          </wp:inline>
        </w:drawing>
      </w:r>
    </w:p>
    <w:p>
      <w:pPr>
        <w:jc w:val="center"/>
      </w:pPr>
      <w:r>
        <w:rPr>
          <w:rFonts w:hint="eastAsia"/>
        </w:rPr>
        <w:t>图5-16业务采购审核列表示意图</w:t>
      </w:r>
    </w:p>
    <w:p/>
    <w:p>
      <w:r>
        <w:rPr>
          <w:rFonts w:hint="eastAsia"/>
        </w:rPr>
        <w:t>用户在采购管理栏，点击需求列表中的【详情】，可看到采购详情页面，下单单位的联系方式，会统计在采购详情列表页。单位可邀约线下沟通，拒绝或采用，如图5-17所示，在采购详情页面的【详情】是供应商详情，如图5-18所示。</w:t>
      </w:r>
    </w:p>
    <w:p>
      <w:pPr>
        <w:jc w:val="center"/>
      </w:pPr>
      <w:r>
        <w:drawing>
          <wp:inline distT="0" distB="0" distL="114300" distR="114300">
            <wp:extent cx="5269230" cy="1669415"/>
            <wp:effectExtent l="0" t="0" r="7620" b="698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32"/>
                    <a:stretch>
                      <a:fillRect/>
                    </a:stretch>
                  </pic:blipFill>
                  <pic:spPr>
                    <a:xfrm>
                      <a:off x="0" y="0"/>
                      <a:ext cx="5269230" cy="1669415"/>
                    </a:xfrm>
                    <a:prstGeom prst="rect">
                      <a:avLst/>
                    </a:prstGeom>
                    <a:noFill/>
                    <a:ln w="9525">
                      <a:noFill/>
                    </a:ln>
                  </pic:spPr>
                </pic:pic>
              </a:graphicData>
            </a:graphic>
          </wp:inline>
        </w:drawing>
      </w:r>
    </w:p>
    <w:p>
      <w:pPr>
        <w:jc w:val="center"/>
      </w:pPr>
      <w:r>
        <w:rPr>
          <w:rFonts w:hint="eastAsia"/>
        </w:rPr>
        <w:t>图5-17 采购详情页面示意图</w:t>
      </w:r>
    </w:p>
    <w:p>
      <w:pPr>
        <w:jc w:val="center"/>
      </w:pPr>
      <w:bookmarkStart w:id="25" w:name="_Toc17395"/>
      <w:r>
        <w:drawing>
          <wp:inline distT="0" distB="0" distL="114300" distR="114300">
            <wp:extent cx="5270500" cy="4065270"/>
            <wp:effectExtent l="0" t="0" r="6350" b="11430"/>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33"/>
                    <a:stretch>
                      <a:fillRect/>
                    </a:stretch>
                  </pic:blipFill>
                  <pic:spPr>
                    <a:xfrm>
                      <a:off x="0" y="0"/>
                      <a:ext cx="5270500" cy="4065270"/>
                    </a:xfrm>
                    <a:prstGeom prst="rect">
                      <a:avLst/>
                    </a:prstGeom>
                    <a:noFill/>
                    <a:ln w="9525">
                      <a:noFill/>
                    </a:ln>
                  </pic:spPr>
                </pic:pic>
              </a:graphicData>
            </a:graphic>
          </wp:inline>
        </w:drawing>
      </w:r>
    </w:p>
    <w:p>
      <w:pPr>
        <w:jc w:val="center"/>
      </w:pPr>
      <w:r>
        <w:rPr>
          <w:rFonts w:hint="eastAsia"/>
        </w:rPr>
        <w:t>图5-18 供应商详情示意图</w:t>
      </w:r>
    </w:p>
    <w:p>
      <w:r>
        <w:rPr>
          <w:rFonts w:hint="eastAsia"/>
        </w:rPr>
        <w:t>单位在供应管理的需求列表处，同样可以点击【详情】查看供应详情页面，可进行【线下沟通】，【拒绝】和【采用】的线上操作，如图5-19所示。</w:t>
      </w:r>
    </w:p>
    <w:p>
      <w:pPr>
        <w:jc w:val="center"/>
      </w:pPr>
      <w:r>
        <w:drawing>
          <wp:inline distT="0" distB="0" distL="0" distR="0">
            <wp:extent cx="5274310" cy="2835275"/>
            <wp:effectExtent l="0" t="0" r="889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5274310" cy="2835275"/>
                    </a:xfrm>
                    <a:prstGeom prst="rect">
                      <a:avLst/>
                    </a:prstGeom>
                  </pic:spPr>
                </pic:pic>
              </a:graphicData>
            </a:graphic>
          </wp:inline>
        </w:drawing>
      </w:r>
    </w:p>
    <w:p>
      <w:pPr>
        <w:jc w:val="center"/>
      </w:pPr>
      <w:r>
        <w:rPr>
          <w:rFonts w:hint="eastAsia"/>
        </w:rPr>
        <w:t>图5-19 供应详情示意图</w:t>
      </w:r>
    </w:p>
    <w:p>
      <w:pPr>
        <w:pStyle w:val="3"/>
      </w:pPr>
      <w:bookmarkStart w:id="26" w:name="_Toc28104"/>
      <w:r>
        <w:rPr>
          <w:rFonts w:hint="eastAsia"/>
        </w:rPr>
        <w:t>5.5人才招聘</w:t>
      </w:r>
      <w:bookmarkEnd w:id="25"/>
      <w:bookmarkEnd w:id="26"/>
    </w:p>
    <w:p>
      <w:pPr>
        <w:pStyle w:val="4"/>
      </w:pPr>
      <w:bookmarkStart w:id="27" w:name="_Toc24408"/>
      <w:r>
        <w:rPr>
          <w:rFonts w:hint="eastAsia"/>
        </w:rPr>
        <w:t>5.5.1职位管理</w:t>
      </w:r>
      <w:bookmarkEnd w:id="27"/>
    </w:p>
    <w:p>
      <w:r>
        <w:rPr>
          <w:rFonts w:hint="eastAsia"/>
        </w:rPr>
        <w:t>单位用户可在人才招聘栏，【新增】招聘需求，浙江省保安协会审核通过后，即可发布到平台主页。状态分：审核中、进行中、已截止、已关闭。</w:t>
      </w:r>
    </w:p>
    <w:p/>
    <w:p>
      <w:pPr>
        <w:pStyle w:val="33"/>
        <w:numPr>
          <w:ilvl w:val="0"/>
          <w:numId w:val="4"/>
        </w:numPr>
        <w:ind w:firstLineChars="0"/>
      </w:pPr>
      <w:r>
        <w:rPr>
          <w:rFonts w:hint="eastAsia"/>
        </w:rPr>
        <w:t>审核中：后台【新增】【发布】的内容，都需审核，图5-20、5-21所示。</w:t>
      </w:r>
    </w:p>
    <w:p>
      <w:pPr>
        <w:pStyle w:val="33"/>
        <w:numPr>
          <w:ilvl w:val="0"/>
          <w:numId w:val="4"/>
        </w:numPr>
        <w:ind w:firstLineChars="0"/>
      </w:pPr>
      <w:r>
        <w:rPr>
          <w:rFonts w:hint="eastAsia"/>
        </w:rPr>
        <w:t>进行中：审核通过后，招聘信息将发布到平台主页（此时，未过截止日期）。</w:t>
      </w:r>
    </w:p>
    <w:p>
      <w:pPr>
        <w:pStyle w:val="33"/>
        <w:numPr>
          <w:ilvl w:val="0"/>
          <w:numId w:val="4"/>
        </w:numPr>
        <w:ind w:firstLineChars="0"/>
      </w:pPr>
      <w:r>
        <w:rPr>
          <w:rFonts w:hint="eastAsia"/>
        </w:rPr>
        <w:t>已截止：已过截止日期。</w:t>
      </w:r>
    </w:p>
    <w:p>
      <w:pPr>
        <w:pStyle w:val="33"/>
        <w:numPr>
          <w:ilvl w:val="0"/>
          <w:numId w:val="4"/>
        </w:numPr>
        <w:ind w:firstLineChars="0"/>
      </w:pPr>
      <w:r>
        <w:rPr>
          <w:rFonts w:hint="eastAsia"/>
        </w:rPr>
        <w:t>已关闭：单位用户自己【关闭】招聘信息或浙江省保安协会操作【关闭】。</w:t>
      </w:r>
    </w:p>
    <w:p/>
    <w:p>
      <w:r>
        <w:rPr>
          <w:rFonts w:hint="eastAsia"/>
        </w:rPr>
        <w:t>注意：只有“进行中”状态的招聘信息会在平台主页显示。</w:t>
      </w:r>
    </w:p>
    <w:p>
      <w:pPr>
        <w:jc w:val="center"/>
      </w:pPr>
      <w:r>
        <w:drawing>
          <wp:inline distT="0" distB="0" distL="114300" distR="114300">
            <wp:extent cx="5272405" cy="3049905"/>
            <wp:effectExtent l="0" t="0" r="4445"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5"/>
                    <a:stretch>
                      <a:fillRect/>
                    </a:stretch>
                  </pic:blipFill>
                  <pic:spPr>
                    <a:xfrm>
                      <a:off x="0" y="0"/>
                      <a:ext cx="5272405" cy="3049905"/>
                    </a:xfrm>
                    <a:prstGeom prst="rect">
                      <a:avLst/>
                    </a:prstGeom>
                    <a:noFill/>
                    <a:ln w="9525">
                      <a:noFill/>
                    </a:ln>
                  </pic:spPr>
                </pic:pic>
              </a:graphicData>
            </a:graphic>
          </wp:inline>
        </w:drawing>
      </w:r>
    </w:p>
    <w:p>
      <w:pPr>
        <w:jc w:val="center"/>
      </w:pPr>
      <w:r>
        <w:rPr>
          <w:rFonts w:hint="eastAsia"/>
        </w:rPr>
        <w:t>图5-20新增职位示意图</w:t>
      </w:r>
    </w:p>
    <w:p>
      <w:pPr>
        <w:jc w:val="center"/>
      </w:pPr>
      <w:r>
        <w:rPr>
          <w:rFonts w:hint="eastAsia"/>
        </w:rPr>
        <w:drawing>
          <wp:inline distT="0" distB="0" distL="114300" distR="114300">
            <wp:extent cx="5262245" cy="1544320"/>
            <wp:effectExtent l="0" t="0" r="14605" b="17780"/>
            <wp:docPr id="29" name="图片 29" descr="152997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29972613(1)"/>
                    <pic:cNvPicPr>
                      <a:picLocks noChangeAspect="1"/>
                    </pic:cNvPicPr>
                  </pic:nvPicPr>
                  <pic:blipFill>
                    <a:blip r:embed="rId36"/>
                    <a:stretch>
                      <a:fillRect/>
                    </a:stretch>
                  </pic:blipFill>
                  <pic:spPr>
                    <a:xfrm>
                      <a:off x="0" y="0"/>
                      <a:ext cx="5262245" cy="1544320"/>
                    </a:xfrm>
                    <a:prstGeom prst="rect">
                      <a:avLst/>
                    </a:prstGeom>
                  </pic:spPr>
                </pic:pic>
              </a:graphicData>
            </a:graphic>
          </wp:inline>
        </w:drawing>
      </w:r>
    </w:p>
    <w:p>
      <w:pPr>
        <w:jc w:val="center"/>
      </w:pPr>
      <w:r>
        <w:rPr>
          <w:rFonts w:hint="eastAsia"/>
        </w:rPr>
        <w:t xml:space="preserve">图5-21 </w:t>
      </w:r>
      <w:r>
        <w:rPr>
          <w:rFonts w:hint="eastAsia"/>
          <w:lang w:val="en-US" w:eastAsia="zh-CN"/>
        </w:rPr>
        <w:t>不同招聘状态下的</w:t>
      </w:r>
      <w:r>
        <w:rPr>
          <w:rFonts w:hint="eastAsia"/>
        </w:rPr>
        <w:t>示意图</w:t>
      </w:r>
    </w:p>
    <w:p/>
    <w:p>
      <w:pPr>
        <w:jc w:val="left"/>
      </w:pPr>
      <w:r>
        <w:rPr>
          <w:rFonts w:hint="eastAsia"/>
        </w:rPr>
        <w:t>单位用户，点击图5-21的【详情】，可查看招聘详情页，如图5-22所示，如果有人投递简历，可在线【邀约面试】、【拒绝】或【录用】。另外，在简历详情页，可存档简历至简历管理。</w:t>
      </w:r>
    </w:p>
    <w:p>
      <w:pPr>
        <w:jc w:val="left"/>
      </w:pPr>
    </w:p>
    <w:p>
      <w:pPr>
        <w:jc w:val="center"/>
      </w:pPr>
      <w:r>
        <w:drawing>
          <wp:inline distT="0" distB="0" distL="114300" distR="114300">
            <wp:extent cx="5267325" cy="2165350"/>
            <wp:effectExtent l="0" t="0" r="9525" b="635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7"/>
                    <a:stretch>
                      <a:fillRect/>
                    </a:stretch>
                  </pic:blipFill>
                  <pic:spPr>
                    <a:xfrm>
                      <a:off x="0" y="0"/>
                      <a:ext cx="5267325" cy="2165350"/>
                    </a:xfrm>
                    <a:prstGeom prst="rect">
                      <a:avLst/>
                    </a:prstGeom>
                    <a:noFill/>
                    <a:ln w="9525">
                      <a:noFill/>
                    </a:ln>
                  </pic:spPr>
                </pic:pic>
              </a:graphicData>
            </a:graphic>
          </wp:inline>
        </w:drawing>
      </w:r>
    </w:p>
    <w:p>
      <w:pPr>
        <w:jc w:val="center"/>
      </w:pPr>
      <w:r>
        <w:rPr>
          <w:rFonts w:hint="eastAsia"/>
        </w:rPr>
        <w:t>图5-22 招聘详情页面示意图</w:t>
      </w:r>
    </w:p>
    <w:p>
      <w:pPr>
        <w:pStyle w:val="4"/>
      </w:pPr>
      <w:bookmarkStart w:id="28" w:name="_Toc27411"/>
      <w:r>
        <w:rPr>
          <w:rFonts w:hint="eastAsia"/>
        </w:rPr>
        <w:t>5.5.2简历管理</w:t>
      </w:r>
      <w:bookmarkEnd w:id="28"/>
    </w:p>
    <w:p>
      <w:r>
        <w:t>简历存档后，</w:t>
      </w:r>
      <w:r>
        <w:rPr>
          <w:rFonts w:hint="eastAsia"/>
        </w:rPr>
        <w:t>应聘者的</w:t>
      </w:r>
      <w:r>
        <w:t>简历</w:t>
      </w:r>
      <w:r>
        <w:rPr>
          <w:rFonts w:hint="eastAsia"/>
        </w:rPr>
        <w:t>将</w:t>
      </w:r>
      <w:r>
        <w:t>同步至【简历管理】，【详情</w:t>
      </w:r>
      <w:r>
        <w:rPr>
          <w:rFonts w:hint="eastAsia"/>
        </w:rPr>
        <w:t>】</w:t>
      </w:r>
      <w:r>
        <w:t>为</w:t>
      </w:r>
      <w:r>
        <w:rPr>
          <w:rFonts w:hint="eastAsia"/>
        </w:rPr>
        <w:t>应聘者</w:t>
      </w:r>
      <w:r>
        <w:t>的简历；</w:t>
      </w:r>
      <w:r>
        <w:rPr>
          <w:rFonts w:hint="eastAsia"/>
        </w:rPr>
        <w:t>存档后的简历</w:t>
      </w:r>
      <w:r>
        <w:t>详情页面有“取消存档”，如果取消存档，简历将不再保存在【简历管理】</w:t>
      </w:r>
      <w:r>
        <w:rPr>
          <w:rFonts w:hint="eastAsia"/>
        </w:rPr>
        <w:t>，如图5-23所示。</w:t>
      </w:r>
    </w:p>
    <w:p>
      <w:pPr>
        <w:jc w:val="center"/>
      </w:pPr>
      <w:r>
        <w:rPr>
          <w:rFonts w:hint="eastAsia"/>
        </w:rPr>
        <w:drawing>
          <wp:inline distT="0" distB="0" distL="114300" distR="114300">
            <wp:extent cx="5264150" cy="1192530"/>
            <wp:effectExtent l="0" t="0" r="12700" b="7620"/>
            <wp:docPr id="30" name="图片 30" descr="1529973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29973627(1)"/>
                    <pic:cNvPicPr>
                      <a:picLocks noChangeAspect="1"/>
                    </pic:cNvPicPr>
                  </pic:nvPicPr>
                  <pic:blipFill>
                    <a:blip r:embed="rId38"/>
                    <a:stretch>
                      <a:fillRect/>
                    </a:stretch>
                  </pic:blipFill>
                  <pic:spPr>
                    <a:xfrm>
                      <a:off x="0" y="0"/>
                      <a:ext cx="5264150" cy="1192530"/>
                    </a:xfrm>
                    <a:prstGeom prst="rect">
                      <a:avLst/>
                    </a:prstGeom>
                  </pic:spPr>
                </pic:pic>
              </a:graphicData>
            </a:graphic>
          </wp:inline>
        </w:drawing>
      </w:r>
    </w:p>
    <w:p>
      <w:pPr>
        <w:jc w:val="center"/>
      </w:pPr>
      <w:r>
        <w:rPr>
          <w:rFonts w:hint="eastAsia"/>
        </w:rPr>
        <w:t>图5-23简历管理示意图</w:t>
      </w:r>
    </w:p>
    <w:p>
      <w:pPr>
        <w:pStyle w:val="3"/>
      </w:pPr>
      <w:bookmarkStart w:id="29" w:name="_Toc82"/>
      <w:r>
        <w:rPr>
          <w:rFonts w:hint="eastAsia"/>
        </w:rPr>
        <w:t>5.6 稿件管理</w:t>
      </w:r>
      <w:bookmarkEnd w:id="29"/>
    </w:p>
    <w:p>
      <w:bookmarkStart w:id="30" w:name="_Toc18997"/>
      <w:r>
        <w:rPr>
          <w:rFonts w:hint="eastAsia"/>
        </w:rPr>
        <w:t>单位用户可对“行业动态”、“最美保安人”</w:t>
      </w:r>
      <w:r>
        <w:rPr>
          <w:rFonts w:hint="eastAsia"/>
          <w:lang w:eastAsia="zh-CN"/>
        </w:rPr>
        <w:t>、“</w:t>
      </w:r>
      <w:r>
        <w:rPr>
          <w:rFonts w:hint="eastAsia"/>
          <w:lang w:val="en-US" w:eastAsia="zh-CN"/>
        </w:rPr>
        <w:t>企业文化</w:t>
      </w:r>
      <w:r>
        <w:rPr>
          <w:rFonts w:hint="eastAsia"/>
          <w:lang w:eastAsia="zh-CN"/>
        </w:rPr>
        <w:t>”</w:t>
      </w:r>
      <w:r>
        <w:rPr>
          <w:rFonts w:hint="eastAsia"/>
          <w:lang w:val="en-US" w:eastAsia="zh-CN"/>
        </w:rPr>
        <w:t>三</w:t>
      </w:r>
      <w:r>
        <w:rPr>
          <w:rFonts w:hint="eastAsia"/>
        </w:rPr>
        <w:t>个栏目投稿，稿件内容所属区域，可选择“浙江省”、“其他省”或“国外”。投递的稿件经浙江省保安协会审核通过后，即可发布到平台主页对应栏目。</w:t>
      </w:r>
    </w:p>
    <w:p>
      <w:pPr>
        <w:rPr>
          <w:b/>
          <w:bCs/>
        </w:rPr>
      </w:pPr>
      <w:bookmarkStart w:id="31" w:name="_GoBack"/>
      <w:bookmarkEnd w:id="31"/>
    </w:p>
    <w:p>
      <w:r>
        <w:rPr>
          <w:rFonts w:hint="eastAsia"/>
        </w:rPr>
        <w:t>稿件管理的【</w:t>
      </w:r>
      <w:r>
        <w:t>新增</w:t>
      </w:r>
      <w:r>
        <w:rPr>
          <w:rFonts w:hint="eastAsia"/>
        </w:rPr>
        <w:t>】</w:t>
      </w:r>
      <w:r>
        <w:t>页面</w:t>
      </w:r>
      <w:r>
        <w:rPr>
          <w:rFonts w:hint="eastAsia"/>
        </w:rPr>
        <w:t>，可</w:t>
      </w:r>
      <w:r>
        <w:t>操作【提交】【取消】</w:t>
      </w:r>
      <w:r>
        <w:rPr>
          <w:rFonts w:hint="eastAsia"/>
        </w:rPr>
        <w:t>，如图5-24所示</w:t>
      </w:r>
      <w:r>
        <w:t>，当【提交】后，</w:t>
      </w:r>
      <w:r>
        <w:rPr>
          <w:rFonts w:hint="eastAsia"/>
        </w:rPr>
        <w:t>稿件进入审核阶段，此时仅可【查看原文】但不可更改，</w:t>
      </w:r>
      <w:r>
        <w:t>当审核【通过】后，列表表格状态显示“通过”，</w:t>
      </w:r>
      <w:r>
        <w:rPr>
          <w:rFonts w:hint="eastAsia"/>
        </w:rPr>
        <w:t>仍可</w:t>
      </w:r>
      <w:r>
        <w:t>【查看原文】；当【驳回】后，列表表格显示“驳回”，</w:t>
      </w:r>
      <w:r>
        <w:rPr>
          <w:rFonts w:hint="eastAsia"/>
        </w:rPr>
        <w:t>可</w:t>
      </w:r>
      <w:r>
        <w:t>操作【编辑】</w:t>
      </w:r>
      <w:r>
        <w:rPr>
          <w:rFonts w:hint="eastAsia"/>
        </w:rPr>
        <w:t>和</w:t>
      </w:r>
      <w:r>
        <w:t>【删除】，【编辑】之后可再提交</w:t>
      </w:r>
      <w:r>
        <w:rPr>
          <w:rFonts w:hint="eastAsia"/>
        </w:rPr>
        <w:t>。驳回后的稿件可以查看驳回【详情】，获悉驳回原因。</w:t>
      </w:r>
    </w:p>
    <w:p/>
    <w:p>
      <w:r>
        <w:rPr>
          <w:rFonts w:hint="eastAsia"/>
        </w:rPr>
        <w:t>另外，通过后的稿件，平台主页稿件的【源自】将显示投稿方的单位名称。</w:t>
      </w:r>
    </w:p>
    <w:p>
      <w:pPr>
        <w:jc w:val="center"/>
        <w:rPr>
          <w:rFonts w:asciiTheme="minorEastAsia" w:hAnsiTheme="minorEastAsia" w:eastAsiaTheme="minorEastAsia"/>
        </w:rPr>
      </w:pPr>
      <w:r>
        <w:drawing>
          <wp:inline distT="0" distB="0" distL="114300" distR="114300">
            <wp:extent cx="4509770" cy="2592070"/>
            <wp:effectExtent l="0" t="0" r="5080" b="177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9"/>
                    <a:stretch>
                      <a:fillRect/>
                    </a:stretch>
                  </pic:blipFill>
                  <pic:spPr>
                    <a:xfrm>
                      <a:off x="0" y="0"/>
                      <a:ext cx="4509770" cy="2592070"/>
                    </a:xfrm>
                    <a:prstGeom prst="rect">
                      <a:avLst/>
                    </a:prstGeom>
                    <a:noFill/>
                    <a:ln w="9525">
                      <a:noFill/>
                    </a:ln>
                  </pic:spPr>
                </pic:pic>
              </a:graphicData>
            </a:graphic>
          </wp:inline>
        </w:drawing>
      </w:r>
    </w:p>
    <w:p>
      <w:pPr>
        <w:jc w:val="center"/>
      </w:pPr>
      <w:r>
        <w:rPr>
          <w:rFonts w:hint="eastAsia"/>
        </w:rPr>
        <w:t>图5-24新增稿件示意图</w:t>
      </w:r>
    </w:p>
    <w:p>
      <w:pPr>
        <w:pStyle w:val="3"/>
      </w:pPr>
      <w:r>
        <w:t>5.</w:t>
      </w:r>
      <w:r>
        <w:rPr>
          <w:rFonts w:hint="eastAsia"/>
        </w:rPr>
        <w:t>7互动管理</w:t>
      </w:r>
      <w:bookmarkEnd w:id="30"/>
    </w:p>
    <w:p>
      <w:r>
        <w:rPr>
          <w:rFonts w:hint="eastAsia"/>
        </w:rPr>
        <w:t>单位之间，可通过互动管理沟通相关事宜，反应合作状态。</w:t>
      </w:r>
    </w:p>
    <w:p/>
    <w:p>
      <w:pPr>
        <w:pStyle w:val="33"/>
        <w:numPr>
          <w:ilvl w:val="0"/>
          <w:numId w:val="5"/>
        </w:numPr>
        <w:ind w:firstLineChars="0"/>
      </w:pPr>
      <w:r>
        <w:rPr>
          <w:rFonts w:hint="eastAsia"/>
        </w:rPr>
        <w:t>【签约单位】处，可通过【新增】，创建与本单位合作的单位名录，如图5-25、5-26所示。</w:t>
      </w:r>
    </w:p>
    <w:p>
      <w:pPr>
        <w:pStyle w:val="33"/>
        <w:numPr>
          <w:ilvl w:val="0"/>
          <w:numId w:val="5"/>
        </w:numPr>
        <w:ind w:firstLineChars="0"/>
      </w:pPr>
      <w:r>
        <w:rPr>
          <w:rFonts w:hint="eastAsia"/>
        </w:rPr>
        <w:t>【考评我的】处，合作单位将对本单位的考评内容显示在此处，本单位可对此信息进行反馈。</w:t>
      </w:r>
    </w:p>
    <w:p>
      <w:pPr>
        <w:pStyle w:val="33"/>
        <w:numPr>
          <w:ilvl w:val="0"/>
          <w:numId w:val="5"/>
        </w:numPr>
        <w:ind w:firstLineChars="0"/>
      </w:pPr>
      <w:r>
        <w:rPr>
          <w:rFonts w:hint="eastAsia"/>
        </w:rPr>
        <w:t>【我考评的】处，这是本单位对合作单位发起考评，选择单位，填写相关的考评内容。</w:t>
      </w:r>
    </w:p>
    <w:p/>
    <w:p>
      <w:pPr>
        <w:jc w:val="center"/>
        <w:rPr>
          <w:sz w:val="24"/>
        </w:rPr>
      </w:pPr>
      <w:r>
        <w:drawing>
          <wp:inline distT="0" distB="0" distL="114300" distR="114300">
            <wp:extent cx="3990340" cy="1512570"/>
            <wp:effectExtent l="0" t="0" r="10160" b="11430"/>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pic:cNvPicPr>
                      <a:picLocks noChangeAspect="1"/>
                    </pic:cNvPicPr>
                  </pic:nvPicPr>
                  <pic:blipFill>
                    <a:blip r:embed="rId40"/>
                    <a:stretch>
                      <a:fillRect/>
                    </a:stretch>
                  </pic:blipFill>
                  <pic:spPr>
                    <a:xfrm>
                      <a:off x="0" y="0"/>
                      <a:ext cx="3990340" cy="1512570"/>
                    </a:xfrm>
                    <a:prstGeom prst="rect">
                      <a:avLst/>
                    </a:prstGeom>
                    <a:noFill/>
                    <a:ln w="9525">
                      <a:noFill/>
                    </a:ln>
                  </pic:spPr>
                </pic:pic>
              </a:graphicData>
            </a:graphic>
          </wp:inline>
        </w:drawing>
      </w:r>
    </w:p>
    <w:p>
      <w:pPr>
        <w:jc w:val="center"/>
        <w:rPr>
          <w:sz w:val="24"/>
        </w:rPr>
      </w:pPr>
      <w:r>
        <w:rPr>
          <w:rFonts w:hint="eastAsia"/>
        </w:rPr>
        <w:t>图5-25签约单位名录示意图</w:t>
      </w:r>
    </w:p>
    <w:p>
      <w:pPr>
        <w:jc w:val="center"/>
      </w:pPr>
      <w:r>
        <w:rPr>
          <w:rFonts w:hint="eastAsia"/>
        </w:rPr>
        <w:drawing>
          <wp:inline distT="0" distB="0" distL="114300" distR="114300">
            <wp:extent cx="3018790" cy="1786890"/>
            <wp:effectExtent l="0" t="0" r="10160" b="3810"/>
            <wp:docPr id="64" name="图片 64" descr="1530009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30009265(1)"/>
                    <pic:cNvPicPr>
                      <a:picLocks noChangeAspect="1"/>
                    </pic:cNvPicPr>
                  </pic:nvPicPr>
                  <pic:blipFill>
                    <a:blip r:embed="rId41"/>
                    <a:stretch>
                      <a:fillRect/>
                    </a:stretch>
                  </pic:blipFill>
                  <pic:spPr>
                    <a:xfrm>
                      <a:off x="0" y="0"/>
                      <a:ext cx="3018790" cy="1786890"/>
                    </a:xfrm>
                    <a:prstGeom prst="rect">
                      <a:avLst/>
                    </a:prstGeom>
                  </pic:spPr>
                </pic:pic>
              </a:graphicData>
            </a:graphic>
          </wp:inline>
        </w:drawing>
      </w:r>
    </w:p>
    <w:p>
      <w:pPr>
        <w:jc w:val="center"/>
        <w:rPr>
          <w:sz w:val="24"/>
        </w:rPr>
      </w:pPr>
      <w:r>
        <w:rPr>
          <w:rFonts w:hint="eastAsia"/>
        </w:rPr>
        <w:t>图5-26新增签约单位示意图</w:t>
      </w:r>
    </w:p>
    <w:bookmarkEnd w:id="14"/>
    <w:p>
      <w:pPr>
        <w:snapToGrid w:val="0"/>
        <w:spacing w:before="156" w:beforeLines="50" w:line="360" w:lineRule="auto"/>
        <w:ind w:left="480" w:leftChars="200"/>
        <w:jc w:val="left"/>
        <w:outlineLvl w:val="1"/>
        <w:rPr>
          <w:rFonts w:asciiTheme="minorEastAsia" w:hAnsiTheme="minorEastAsia" w:eastAsiaTheme="minorEastAsia"/>
          <w:b/>
          <w:sz w:val="28"/>
        </w:rPr>
      </w:pPr>
    </w:p>
    <w:sectPr>
      <w:footerReference r:id="rId12" w:type="default"/>
      <w:pgSz w:w="11906" w:h="16838"/>
      <w:pgMar w:top="1440" w:right="1800" w:bottom="1440" w:left="1800" w:header="850" w:footer="992" w:gutter="0"/>
      <w:pgNumType w:start="6"/>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Helvetica Neue">
    <w:altName w:val="Corbel"/>
    <w:panose1 w:val="02000503000000020004"/>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id w:val="-1139803322"/>
      </w:sdtPr>
      <w:sdtContent/>
    </w:sdt>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33844343"/>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sdt>
                    <w:sdtPr>
                      <w:id w:val="-1733844343"/>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33844343"/>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sdt>
                    <w:sdtPr>
                      <w:id w:val="-1733844343"/>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33844343"/>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sdt>
                    <w:sdtPr>
                      <w:id w:val="-1733844343"/>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4" w:space="0"/>
      </w:pBdr>
      <w:jc w:val="right"/>
    </w:pPr>
    <w:r>
      <w:rPr>
        <w:rFonts w:hint="eastAsia"/>
      </w:rPr>
      <w:t>浙江钧信保安服务有限公司                          浙江省保安行业公共服务平台系统用户使用说明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C2FCEB"/>
    <w:multiLevelType w:val="singleLevel"/>
    <w:tmpl w:val="DAC2FCEB"/>
    <w:lvl w:ilvl="0" w:tentative="0">
      <w:start w:val="1"/>
      <w:numFmt w:val="bullet"/>
      <w:lvlText w:val=""/>
      <w:lvlJc w:val="left"/>
      <w:pPr>
        <w:ind w:left="420" w:hanging="420"/>
      </w:pPr>
      <w:rPr>
        <w:rFonts w:hint="default" w:ascii="Wingdings" w:hAnsi="Wingdings"/>
      </w:rPr>
    </w:lvl>
  </w:abstractNum>
  <w:abstractNum w:abstractNumId="1">
    <w:nsid w:val="00463E26"/>
    <w:multiLevelType w:val="multilevel"/>
    <w:tmpl w:val="00463E2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A1370A1"/>
    <w:multiLevelType w:val="multilevel"/>
    <w:tmpl w:val="4A1370A1"/>
    <w:lvl w:ilvl="0" w:tentative="0">
      <w:start w:val="1"/>
      <w:numFmt w:val="lowerLetter"/>
      <w:pStyle w:val="37"/>
      <w:lvlText w:val="%1."/>
      <w:lvlJc w:val="left"/>
      <w:pPr>
        <w:tabs>
          <w:tab w:val="left" w:pos="993"/>
        </w:tabs>
        <w:ind w:left="568" w:firstLine="0"/>
      </w:pPr>
      <w:rPr>
        <w:rFonts w:hint="default" w:ascii="Times New Roman" w:hAnsi="Times New Roman" w:eastAsia="宋体" w:cs="Times New Roman"/>
        <w:b w:val="0"/>
        <w:bCs w:val="0"/>
        <w:i w:val="0"/>
        <w:iCs w:val="0"/>
        <w:caps w:val="0"/>
        <w:strike w:val="0"/>
        <w:dstrike w:val="0"/>
        <w:vanish w:val="0"/>
        <w:color w:val="000000"/>
        <w:spacing w:val="0"/>
        <w:position w:val="0"/>
        <w:u w:val="none"/>
        <w:vertAlign w:val="baseline"/>
      </w:rPr>
    </w:lvl>
    <w:lvl w:ilvl="1" w:tentative="0">
      <w:start w:val="1"/>
      <w:numFmt w:val="decimal"/>
      <w:pStyle w:val="36"/>
      <w:lvlText w:val="%2)"/>
      <w:lvlJc w:val="left"/>
      <w:pPr>
        <w:tabs>
          <w:tab w:val="left" w:pos="1447"/>
        </w:tabs>
        <w:ind w:left="880" w:firstLine="0"/>
      </w:pPr>
      <w:rPr>
        <w:rFonts w:hint="default" w:ascii="Times New Roman" w:hAnsi="Times New Roman" w:eastAsia="宋体"/>
      </w:rPr>
    </w:lvl>
    <w:lvl w:ilvl="2" w:tentative="0">
      <w:start w:val="1"/>
      <w:numFmt w:val="lowerRoman"/>
      <w:lvlText w:val="%3."/>
      <w:lvlJc w:val="right"/>
      <w:pPr>
        <w:tabs>
          <w:tab w:val="left" w:pos="1011"/>
        </w:tabs>
        <w:ind w:left="954" w:firstLine="0"/>
      </w:pPr>
      <w:rPr>
        <w:rFonts w:hint="eastAsia"/>
      </w:rPr>
    </w:lvl>
    <w:lvl w:ilvl="3" w:tentative="0">
      <w:start w:val="1"/>
      <w:numFmt w:val="decimal"/>
      <w:lvlText w:val="%4."/>
      <w:lvlJc w:val="left"/>
      <w:pPr>
        <w:tabs>
          <w:tab w:val="left" w:pos="1204"/>
        </w:tabs>
        <w:ind w:left="1147" w:firstLine="0"/>
      </w:pPr>
      <w:rPr>
        <w:rFonts w:hint="eastAsia"/>
      </w:rPr>
    </w:lvl>
    <w:lvl w:ilvl="4" w:tentative="0">
      <w:start w:val="1"/>
      <w:numFmt w:val="lowerLetter"/>
      <w:lvlText w:val="%5)"/>
      <w:lvlJc w:val="left"/>
      <w:pPr>
        <w:tabs>
          <w:tab w:val="left" w:pos="1397"/>
        </w:tabs>
        <w:ind w:left="1340" w:firstLine="0"/>
      </w:pPr>
      <w:rPr>
        <w:rFonts w:hint="eastAsia"/>
      </w:rPr>
    </w:lvl>
    <w:lvl w:ilvl="5" w:tentative="0">
      <w:start w:val="1"/>
      <w:numFmt w:val="lowerRoman"/>
      <w:lvlText w:val="%6."/>
      <w:lvlJc w:val="right"/>
      <w:pPr>
        <w:tabs>
          <w:tab w:val="left" w:pos="1590"/>
        </w:tabs>
        <w:ind w:left="1533" w:firstLine="0"/>
      </w:pPr>
      <w:rPr>
        <w:rFonts w:hint="eastAsia"/>
      </w:rPr>
    </w:lvl>
    <w:lvl w:ilvl="6" w:tentative="0">
      <w:start w:val="1"/>
      <w:numFmt w:val="decimal"/>
      <w:lvlText w:val="%7."/>
      <w:lvlJc w:val="left"/>
      <w:pPr>
        <w:tabs>
          <w:tab w:val="left" w:pos="1783"/>
        </w:tabs>
        <w:ind w:left="1726" w:firstLine="0"/>
      </w:pPr>
      <w:rPr>
        <w:rFonts w:hint="eastAsia"/>
      </w:rPr>
    </w:lvl>
    <w:lvl w:ilvl="7" w:tentative="0">
      <w:start w:val="1"/>
      <w:numFmt w:val="lowerLetter"/>
      <w:lvlText w:val="%8)"/>
      <w:lvlJc w:val="left"/>
      <w:pPr>
        <w:tabs>
          <w:tab w:val="left" w:pos="1976"/>
        </w:tabs>
        <w:ind w:left="1919" w:firstLine="0"/>
      </w:pPr>
      <w:rPr>
        <w:rFonts w:hint="eastAsia"/>
      </w:rPr>
    </w:lvl>
    <w:lvl w:ilvl="8" w:tentative="0">
      <w:start w:val="1"/>
      <w:numFmt w:val="lowerRoman"/>
      <w:lvlText w:val="%9."/>
      <w:lvlJc w:val="right"/>
      <w:pPr>
        <w:tabs>
          <w:tab w:val="left" w:pos="2169"/>
        </w:tabs>
        <w:ind w:left="2112" w:firstLine="0"/>
      </w:pPr>
      <w:rPr>
        <w:rFonts w:hint="eastAsia"/>
      </w:rPr>
    </w:lvl>
  </w:abstractNum>
  <w:abstractNum w:abstractNumId="3">
    <w:nsid w:val="6446192F"/>
    <w:multiLevelType w:val="multilevel"/>
    <w:tmpl w:val="6446192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F874322"/>
    <w:multiLevelType w:val="multilevel"/>
    <w:tmpl w:val="7F8743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0D4"/>
    <w:rsid w:val="00006E71"/>
    <w:rsid w:val="000601E8"/>
    <w:rsid w:val="00070B81"/>
    <w:rsid w:val="0008295F"/>
    <w:rsid w:val="000B0EDE"/>
    <w:rsid w:val="000D1BB6"/>
    <w:rsid w:val="000E77FF"/>
    <w:rsid w:val="000F687C"/>
    <w:rsid w:val="001000D4"/>
    <w:rsid w:val="00123BB8"/>
    <w:rsid w:val="001435D6"/>
    <w:rsid w:val="001616E8"/>
    <w:rsid w:val="00162AE2"/>
    <w:rsid w:val="001E2EF9"/>
    <w:rsid w:val="00232E6E"/>
    <w:rsid w:val="00284F95"/>
    <w:rsid w:val="002939CD"/>
    <w:rsid w:val="002D3561"/>
    <w:rsid w:val="002E3C78"/>
    <w:rsid w:val="002F4B4A"/>
    <w:rsid w:val="00322336"/>
    <w:rsid w:val="00325301"/>
    <w:rsid w:val="00331224"/>
    <w:rsid w:val="0035455D"/>
    <w:rsid w:val="0040501B"/>
    <w:rsid w:val="00411662"/>
    <w:rsid w:val="0042542A"/>
    <w:rsid w:val="00441602"/>
    <w:rsid w:val="00442B0B"/>
    <w:rsid w:val="0046042C"/>
    <w:rsid w:val="0047784D"/>
    <w:rsid w:val="004A2B7E"/>
    <w:rsid w:val="004E6E8A"/>
    <w:rsid w:val="00502326"/>
    <w:rsid w:val="00507758"/>
    <w:rsid w:val="0055635E"/>
    <w:rsid w:val="005967F2"/>
    <w:rsid w:val="005E37A5"/>
    <w:rsid w:val="00602300"/>
    <w:rsid w:val="00605BE7"/>
    <w:rsid w:val="006072E5"/>
    <w:rsid w:val="00641F52"/>
    <w:rsid w:val="00662989"/>
    <w:rsid w:val="00665094"/>
    <w:rsid w:val="00682C34"/>
    <w:rsid w:val="00695F77"/>
    <w:rsid w:val="006A7254"/>
    <w:rsid w:val="006E1262"/>
    <w:rsid w:val="006F675E"/>
    <w:rsid w:val="00724036"/>
    <w:rsid w:val="00732F3C"/>
    <w:rsid w:val="00770258"/>
    <w:rsid w:val="007915C1"/>
    <w:rsid w:val="00801371"/>
    <w:rsid w:val="0086175F"/>
    <w:rsid w:val="00874F31"/>
    <w:rsid w:val="008D2808"/>
    <w:rsid w:val="00910045"/>
    <w:rsid w:val="00934829"/>
    <w:rsid w:val="00945E30"/>
    <w:rsid w:val="00952D21"/>
    <w:rsid w:val="00953CC5"/>
    <w:rsid w:val="009546A4"/>
    <w:rsid w:val="00975B50"/>
    <w:rsid w:val="009765C7"/>
    <w:rsid w:val="00991DD7"/>
    <w:rsid w:val="009C28BC"/>
    <w:rsid w:val="009F37F3"/>
    <w:rsid w:val="00A1548B"/>
    <w:rsid w:val="00A739F8"/>
    <w:rsid w:val="00AC33C0"/>
    <w:rsid w:val="00AD0BD4"/>
    <w:rsid w:val="00AE2480"/>
    <w:rsid w:val="00AE78EE"/>
    <w:rsid w:val="00B55CFE"/>
    <w:rsid w:val="00B654A5"/>
    <w:rsid w:val="00B72894"/>
    <w:rsid w:val="00B90443"/>
    <w:rsid w:val="00B9322C"/>
    <w:rsid w:val="00BD1093"/>
    <w:rsid w:val="00BD5890"/>
    <w:rsid w:val="00C07AF1"/>
    <w:rsid w:val="00C24598"/>
    <w:rsid w:val="00C6659D"/>
    <w:rsid w:val="00C7192E"/>
    <w:rsid w:val="00CF33D4"/>
    <w:rsid w:val="00D01048"/>
    <w:rsid w:val="00D22552"/>
    <w:rsid w:val="00D4359C"/>
    <w:rsid w:val="00D60964"/>
    <w:rsid w:val="00D932F0"/>
    <w:rsid w:val="00DB070C"/>
    <w:rsid w:val="00DB3D22"/>
    <w:rsid w:val="00DD5D0C"/>
    <w:rsid w:val="00DD631E"/>
    <w:rsid w:val="00E24437"/>
    <w:rsid w:val="00E33E36"/>
    <w:rsid w:val="00E60467"/>
    <w:rsid w:val="00E86EFD"/>
    <w:rsid w:val="00EA4955"/>
    <w:rsid w:val="00EA6072"/>
    <w:rsid w:val="00EB7349"/>
    <w:rsid w:val="00EC7121"/>
    <w:rsid w:val="00EE15D9"/>
    <w:rsid w:val="00EE44DA"/>
    <w:rsid w:val="00EE4811"/>
    <w:rsid w:val="00F63490"/>
    <w:rsid w:val="00FA36CB"/>
    <w:rsid w:val="00FE5AC7"/>
    <w:rsid w:val="02F16637"/>
    <w:rsid w:val="057A2A24"/>
    <w:rsid w:val="089D0F5C"/>
    <w:rsid w:val="096C5BFC"/>
    <w:rsid w:val="0AC71884"/>
    <w:rsid w:val="0B0E13C1"/>
    <w:rsid w:val="0BF81986"/>
    <w:rsid w:val="0D462D57"/>
    <w:rsid w:val="10683548"/>
    <w:rsid w:val="109B244E"/>
    <w:rsid w:val="10E91425"/>
    <w:rsid w:val="115E156F"/>
    <w:rsid w:val="12126959"/>
    <w:rsid w:val="139C3036"/>
    <w:rsid w:val="141F0F70"/>
    <w:rsid w:val="17087237"/>
    <w:rsid w:val="1B9E5B0D"/>
    <w:rsid w:val="1D1F634B"/>
    <w:rsid w:val="1E492361"/>
    <w:rsid w:val="1FCF4AC0"/>
    <w:rsid w:val="20FC29D6"/>
    <w:rsid w:val="234E4D20"/>
    <w:rsid w:val="23EE7A92"/>
    <w:rsid w:val="258F4114"/>
    <w:rsid w:val="25ED1F2F"/>
    <w:rsid w:val="26C44C25"/>
    <w:rsid w:val="274E4296"/>
    <w:rsid w:val="27517C06"/>
    <w:rsid w:val="282B097E"/>
    <w:rsid w:val="2A56255C"/>
    <w:rsid w:val="2F801A65"/>
    <w:rsid w:val="316F5EF4"/>
    <w:rsid w:val="324051AE"/>
    <w:rsid w:val="33116501"/>
    <w:rsid w:val="34D51FFB"/>
    <w:rsid w:val="355E13FE"/>
    <w:rsid w:val="35D435F2"/>
    <w:rsid w:val="37346330"/>
    <w:rsid w:val="374D2E2B"/>
    <w:rsid w:val="39561D27"/>
    <w:rsid w:val="39EE3A7B"/>
    <w:rsid w:val="3D082A64"/>
    <w:rsid w:val="40C5006E"/>
    <w:rsid w:val="40FB417A"/>
    <w:rsid w:val="441B4FE9"/>
    <w:rsid w:val="450F6D97"/>
    <w:rsid w:val="46D50DA1"/>
    <w:rsid w:val="496A3531"/>
    <w:rsid w:val="4B073CD5"/>
    <w:rsid w:val="4D2113A9"/>
    <w:rsid w:val="50BD0CC9"/>
    <w:rsid w:val="5277243E"/>
    <w:rsid w:val="52814BEE"/>
    <w:rsid w:val="53377E48"/>
    <w:rsid w:val="54A876A7"/>
    <w:rsid w:val="5538069B"/>
    <w:rsid w:val="55586AEA"/>
    <w:rsid w:val="556179C4"/>
    <w:rsid w:val="55C0073E"/>
    <w:rsid w:val="57C43D9E"/>
    <w:rsid w:val="583D3431"/>
    <w:rsid w:val="58997D27"/>
    <w:rsid w:val="5A5D246F"/>
    <w:rsid w:val="6065621E"/>
    <w:rsid w:val="617D2634"/>
    <w:rsid w:val="6240168B"/>
    <w:rsid w:val="62AA450E"/>
    <w:rsid w:val="645A5F1E"/>
    <w:rsid w:val="647B6F07"/>
    <w:rsid w:val="67C95B74"/>
    <w:rsid w:val="68F232DA"/>
    <w:rsid w:val="69512639"/>
    <w:rsid w:val="6CE16617"/>
    <w:rsid w:val="6D717C25"/>
    <w:rsid w:val="6F822049"/>
    <w:rsid w:val="71A135CC"/>
    <w:rsid w:val="71E23B82"/>
    <w:rsid w:val="73433FE2"/>
    <w:rsid w:val="7359072B"/>
    <w:rsid w:val="74771B5A"/>
    <w:rsid w:val="7DAC11B9"/>
    <w:rsid w:val="7FD10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44"/>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47"/>
    <w:uiPriority w:val="0"/>
    <w:rPr>
      <w:b/>
      <w:bCs/>
    </w:rPr>
  </w:style>
  <w:style w:type="paragraph" w:styleId="7">
    <w:name w:val="annotation text"/>
    <w:basedOn w:val="1"/>
    <w:link w:val="46"/>
    <w:qFormat/>
    <w:uiPriority w:val="0"/>
    <w:pPr>
      <w:jc w:val="left"/>
    </w:pPr>
  </w:style>
  <w:style w:type="paragraph" w:styleId="8">
    <w:name w:val="toc 7"/>
    <w:basedOn w:val="1"/>
    <w:next w:val="1"/>
    <w:qFormat/>
    <w:uiPriority w:val="0"/>
    <w:pPr>
      <w:ind w:left="1260"/>
    </w:pPr>
  </w:style>
  <w:style w:type="paragraph" w:styleId="9">
    <w:name w:val="toc 5"/>
    <w:basedOn w:val="1"/>
    <w:next w:val="1"/>
    <w:qFormat/>
    <w:uiPriority w:val="0"/>
    <w:pPr>
      <w:ind w:left="840"/>
    </w:pPr>
  </w:style>
  <w:style w:type="paragraph" w:styleId="10">
    <w:name w:val="toc 3"/>
    <w:basedOn w:val="1"/>
    <w:next w:val="1"/>
    <w:qFormat/>
    <w:uiPriority w:val="0"/>
    <w:pPr>
      <w:ind w:left="420"/>
    </w:pPr>
  </w:style>
  <w:style w:type="paragraph" w:styleId="11">
    <w:name w:val="toc 8"/>
    <w:basedOn w:val="1"/>
    <w:next w:val="1"/>
    <w:qFormat/>
    <w:uiPriority w:val="0"/>
    <w:pPr>
      <w:ind w:left="1470"/>
    </w:pPr>
  </w:style>
  <w:style w:type="paragraph" w:styleId="12">
    <w:name w:val="Balloon Text"/>
    <w:basedOn w:val="1"/>
    <w:link w:val="48"/>
    <w:semiHidden/>
    <w:unhideWhenUsed/>
    <w:uiPriority w:val="0"/>
    <w:rPr>
      <w:sz w:val="18"/>
      <w:szCs w:val="18"/>
    </w:rPr>
  </w:style>
  <w:style w:type="paragraph" w:styleId="13">
    <w:name w:val="footer"/>
    <w:basedOn w:val="1"/>
    <w:link w:val="30"/>
    <w:qFormat/>
    <w:uiPriority w:val="99"/>
    <w:pPr>
      <w:tabs>
        <w:tab w:val="center" w:pos="4153"/>
        <w:tab w:val="right" w:pos="8306"/>
      </w:tabs>
      <w:snapToGrid w:val="0"/>
      <w:jc w:val="left"/>
    </w:pPr>
    <w:rPr>
      <w:sz w:val="18"/>
      <w:szCs w:val="18"/>
    </w:rPr>
  </w:style>
  <w:style w:type="paragraph" w:styleId="14">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4"/>
    <w:basedOn w:val="1"/>
    <w:next w:val="1"/>
    <w:qFormat/>
    <w:uiPriority w:val="0"/>
    <w:pPr>
      <w:ind w:left="630"/>
    </w:pPr>
  </w:style>
  <w:style w:type="paragraph" w:styleId="17">
    <w:name w:val="Subtitle"/>
    <w:basedOn w:val="1"/>
    <w:next w:val="1"/>
    <w:link w:val="3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8">
    <w:name w:val="toc 6"/>
    <w:basedOn w:val="1"/>
    <w:next w:val="1"/>
    <w:qFormat/>
    <w:uiPriority w:val="0"/>
    <w:pPr>
      <w:ind w:left="1050"/>
    </w:pPr>
  </w:style>
  <w:style w:type="paragraph" w:styleId="19">
    <w:name w:val="toc 2"/>
    <w:basedOn w:val="1"/>
    <w:next w:val="1"/>
    <w:qFormat/>
    <w:uiPriority w:val="39"/>
    <w:pPr>
      <w:ind w:left="210"/>
    </w:pPr>
  </w:style>
  <w:style w:type="paragraph" w:styleId="20">
    <w:name w:val="toc 9"/>
    <w:basedOn w:val="1"/>
    <w:next w:val="1"/>
    <w:qFormat/>
    <w:uiPriority w:val="0"/>
    <w:pPr>
      <w:ind w:left="1680"/>
    </w:pPr>
  </w:style>
  <w:style w:type="paragraph" w:styleId="21">
    <w:name w:val="Title"/>
    <w:basedOn w:val="1"/>
    <w:next w:val="1"/>
    <w:link w:val="28"/>
    <w:qFormat/>
    <w:uiPriority w:val="0"/>
    <w:pPr>
      <w:spacing w:before="240" w:after="60"/>
      <w:jc w:val="center"/>
      <w:outlineLvl w:val="0"/>
    </w:pPr>
    <w:rPr>
      <w:rFonts w:ascii="等线 Light" w:hAnsi="等线 Light"/>
      <w:b/>
      <w:bCs/>
      <w:sz w:val="32"/>
      <w:szCs w:val="32"/>
    </w:r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styleId="24">
    <w:name w:val="annotation reference"/>
    <w:basedOn w:val="22"/>
    <w:uiPriority w:val="0"/>
    <w:rPr>
      <w:sz w:val="21"/>
      <w:szCs w:val="21"/>
    </w:rPr>
  </w:style>
  <w:style w:type="table" w:styleId="26">
    <w:name w:val="Table Grid"/>
    <w:basedOn w:val="25"/>
    <w:qFormat/>
    <w:uiPriority w:val="39"/>
    <w:rPr>
      <w:rFonts w:ascii="Calibri" w:hAnsi="Calibr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7">
    <w:name w:val="标题 1字符"/>
    <w:link w:val="2"/>
    <w:qFormat/>
    <w:uiPriority w:val="0"/>
    <w:rPr>
      <w:b/>
      <w:bCs/>
      <w:kern w:val="44"/>
      <w:sz w:val="44"/>
      <w:szCs w:val="44"/>
    </w:rPr>
  </w:style>
  <w:style w:type="character" w:customStyle="1" w:styleId="28">
    <w:name w:val="标题字符"/>
    <w:link w:val="21"/>
    <w:qFormat/>
    <w:uiPriority w:val="0"/>
    <w:rPr>
      <w:rFonts w:ascii="等线 Light" w:hAnsi="等线 Light" w:cs="Times New Roman"/>
      <w:b/>
      <w:bCs/>
      <w:kern w:val="2"/>
      <w:sz w:val="32"/>
      <w:szCs w:val="32"/>
    </w:rPr>
  </w:style>
  <w:style w:type="character" w:customStyle="1" w:styleId="29">
    <w:name w:val="页眉字符"/>
    <w:basedOn w:val="22"/>
    <w:link w:val="14"/>
    <w:qFormat/>
    <w:uiPriority w:val="0"/>
    <w:rPr>
      <w:kern w:val="2"/>
      <w:sz w:val="18"/>
      <w:szCs w:val="18"/>
    </w:rPr>
  </w:style>
  <w:style w:type="character" w:customStyle="1" w:styleId="30">
    <w:name w:val="页脚字符"/>
    <w:basedOn w:val="22"/>
    <w:link w:val="13"/>
    <w:qFormat/>
    <w:uiPriority w:val="99"/>
    <w:rPr>
      <w:kern w:val="2"/>
      <w:sz w:val="18"/>
      <w:szCs w:val="18"/>
    </w:rPr>
  </w:style>
  <w:style w:type="character" w:customStyle="1" w:styleId="31">
    <w:name w:val="副标题字符"/>
    <w:basedOn w:val="22"/>
    <w:link w:val="17"/>
    <w:qFormat/>
    <w:uiPriority w:val="0"/>
    <w:rPr>
      <w:rFonts w:asciiTheme="majorHAnsi" w:hAnsiTheme="majorHAnsi" w:cstheme="majorBidi"/>
      <w:b/>
      <w:bCs/>
      <w:kern w:val="28"/>
      <w:sz w:val="32"/>
      <w:szCs w:val="32"/>
    </w:rPr>
  </w:style>
  <w:style w:type="paragraph" w:styleId="3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33">
    <w:name w:val="List Paragraph"/>
    <w:basedOn w:val="1"/>
    <w:qFormat/>
    <w:uiPriority w:val="72"/>
    <w:pPr>
      <w:ind w:firstLine="420" w:firstLineChars="200"/>
    </w:pPr>
  </w:style>
  <w:style w:type="paragraph" w:customStyle="1" w:styleId="34">
    <w:name w:val="C503-正文格式"/>
    <w:basedOn w:val="1"/>
    <w:link w:val="35"/>
    <w:qFormat/>
    <w:uiPriority w:val="0"/>
    <w:pPr>
      <w:spacing w:line="360" w:lineRule="auto"/>
      <w:ind w:firstLine="480" w:firstLineChars="200"/>
    </w:pPr>
    <w:rPr>
      <w:rFonts w:cs="宋体"/>
      <w:sz w:val="24"/>
      <w:szCs w:val="20"/>
    </w:rPr>
  </w:style>
  <w:style w:type="character" w:customStyle="1" w:styleId="35">
    <w:name w:val="C503-正文格式 Char"/>
    <w:link w:val="34"/>
    <w:qFormat/>
    <w:uiPriority w:val="0"/>
    <w:rPr>
      <w:rFonts w:cs="宋体"/>
      <w:kern w:val="2"/>
      <w:sz w:val="24"/>
    </w:rPr>
  </w:style>
  <w:style w:type="paragraph" w:customStyle="1" w:styleId="36">
    <w:name w:val="C503-数字列项"/>
    <w:basedOn w:val="1"/>
    <w:qFormat/>
    <w:uiPriority w:val="0"/>
    <w:pPr>
      <w:numPr>
        <w:ilvl w:val="1"/>
        <w:numId w:val="1"/>
      </w:numPr>
      <w:tabs>
        <w:tab w:val="left" w:pos="240"/>
      </w:tabs>
      <w:spacing w:line="360" w:lineRule="auto"/>
    </w:pPr>
    <w:rPr>
      <w:sz w:val="24"/>
    </w:rPr>
  </w:style>
  <w:style w:type="paragraph" w:customStyle="1" w:styleId="37">
    <w:name w:val="C503-字母列项"/>
    <w:basedOn w:val="1"/>
    <w:link w:val="38"/>
    <w:qFormat/>
    <w:uiPriority w:val="0"/>
    <w:pPr>
      <w:numPr>
        <w:ilvl w:val="0"/>
        <w:numId w:val="1"/>
      </w:numPr>
      <w:tabs>
        <w:tab w:val="left" w:pos="0"/>
      </w:tabs>
      <w:spacing w:line="360" w:lineRule="auto"/>
    </w:pPr>
    <w:rPr>
      <w:sz w:val="24"/>
    </w:rPr>
  </w:style>
  <w:style w:type="character" w:customStyle="1" w:styleId="38">
    <w:name w:val="C503-字母列项 Char"/>
    <w:link w:val="37"/>
    <w:qFormat/>
    <w:uiPriority w:val="0"/>
    <w:rPr>
      <w:kern w:val="2"/>
      <w:sz w:val="24"/>
      <w:szCs w:val="24"/>
    </w:rPr>
  </w:style>
  <w:style w:type="paragraph" w:customStyle="1" w:styleId="39">
    <w:name w:val="样式1"/>
    <w:basedOn w:val="14"/>
    <w:link w:val="41"/>
    <w:qFormat/>
    <w:uiPriority w:val="0"/>
    <w:pPr>
      <w:pBdr>
        <w:bottom w:val="none" w:color="auto" w:sz="0" w:space="0"/>
      </w:pBdr>
    </w:pPr>
  </w:style>
  <w:style w:type="table" w:customStyle="1" w:styleId="40">
    <w:name w:val="网格型1"/>
    <w:basedOn w:val="25"/>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1">
    <w:name w:val="样式1 字符"/>
    <w:basedOn w:val="29"/>
    <w:link w:val="39"/>
    <w:qFormat/>
    <w:uiPriority w:val="0"/>
    <w:rPr>
      <w:kern w:val="2"/>
      <w:sz w:val="18"/>
      <w:szCs w:val="18"/>
    </w:rPr>
  </w:style>
  <w:style w:type="table" w:customStyle="1" w:styleId="42">
    <w:name w:val="网格型2"/>
    <w:basedOn w:val="25"/>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4">
    <w:name w:val="标题 3字符"/>
    <w:basedOn w:val="22"/>
    <w:link w:val="4"/>
    <w:uiPriority w:val="0"/>
    <w:rPr>
      <w:b/>
      <w:bCs/>
      <w:kern w:val="2"/>
      <w:sz w:val="32"/>
      <w:szCs w:val="32"/>
    </w:rPr>
  </w:style>
  <w:style w:type="character" w:customStyle="1" w:styleId="45">
    <w:name w:val="标题 4字符"/>
    <w:basedOn w:val="22"/>
    <w:link w:val="5"/>
    <w:qFormat/>
    <w:uiPriority w:val="0"/>
    <w:rPr>
      <w:rFonts w:asciiTheme="majorHAnsi" w:hAnsiTheme="majorHAnsi" w:eastAsiaTheme="majorEastAsia" w:cstheme="majorBidi"/>
      <w:b/>
      <w:bCs/>
      <w:kern w:val="2"/>
      <w:sz w:val="28"/>
      <w:szCs w:val="28"/>
    </w:rPr>
  </w:style>
  <w:style w:type="character" w:customStyle="1" w:styleId="46">
    <w:name w:val="批注文字字符"/>
    <w:basedOn w:val="22"/>
    <w:link w:val="7"/>
    <w:uiPriority w:val="0"/>
    <w:rPr>
      <w:kern w:val="2"/>
      <w:sz w:val="21"/>
      <w:szCs w:val="24"/>
    </w:rPr>
  </w:style>
  <w:style w:type="character" w:customStyle="1" w:styleId="47">
    <w:name w:val="批注主题字符"/>
    <w:basedOn w:val="46"/>
    <w:link w:val="6"/>
    <w:qFormat/>
    <w:uiPriority w:val="0"/>
    <w:rPr>
      <w:b/>
      <w:bCs/>
      <w:kern w:val="2"/>
      <w:sz w:val="21"/>
      <w:szCs w:val="24"/>
    </w:rPr>
  </w:style>
  <w:style w:type="character" w:customStyle="1" w:styleId="48">
    <w:name w:val="批注框文本字符"/>
    <w:basedOn w:val="22"/>
    <w:link w:val="12"/>
    <w:semiHidden/>
    <w:uiPriority w:val="0"/>
    <w:rPr>
      <w:kern w:val="2"/>
      <w:sz w:val="18"/>
      <w:szCs w:val="18"/>
    </w:rPr>
  </w:style>
  <w:style w:type="paragraph" w:customStyle="1" w:styleId="49">
    <w:name w:val="WPSOffice手动目录 1"/>
    <w:qFormat/>
    <w:uiPriority w:val="0"/>
    <w:pPr>
      <w:ind w:leftChars="0"/>
    </w:pPr>
    <w:rPr>
      <w:rFonts w:ascii="Times New Roman" w:hAnsi="Times New Roman" w:eastAsia="宋体" w:cs="Times New Roman"/>
      <w:sz w:val="20"/>
      <w:szCs w:val="20"/>
    </w:rPr>
  </w:style>
  <w:style w:type="paragraph" w:customStyle="1" w:styleId="50">
    <w:name w:val="WPSOffice手动目录 2"/>
    <w:uiPriority w:val="0"/>
    <w:pPr>
      <w:ind w:leftChars="200"/>
    </w:pPr>
    <w:rPr>
      <w:rFonts w:ascii="Times New Roman" w:hAnsi="Times New Roman" w:eastAsia="宋体" w:cs="Times New Roman"/>
      <w:sz w:val="20"/>
      <w:szCs w:val="20"/>
    </w:rPr>
  </w:style>
  <w:style w:type="paragraph" w:customStyle="1" w:styleId="51">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F09753-840A-B24A-B5EB-A5DCDF6A4B40}">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17</Pages>
  <Words>599</Words>
  <Characters>3417</Characters>
  <Lines>28</Lines>
  <Paragraphs>8</Paragraphs>
  <TotalTime>1</TotalTime>
  <ScaleCrop>false</ScaleCrop>
  <LinksUpToDate>false</LinksUpToDate>
  <CharactersWithSpaces>4008</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2018-07-01T16:01:00Z</dcterms:created>
  <dc:creator>sjj</dc:creator>
  <cp:lastModifiedBy>sunny</cp:lastModifiedBy>
  <dcterms:modified xsi:type="dcterms:W3CDTF">2018-10-12T08:41:22Z</dcterms:modified>
  <dc:title>浙江省保安行业公共服务平台</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